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F22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8122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F5B3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22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22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74A3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F22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74A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74A3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22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74A3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22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E4EC3">
        <w:rPr>
          <w:rFonts w:eastAsiaTheme="minorEastAsia"/>
          <w:color w:val="000000"/>
          <w:sz w:val="26"/>
          <w:szCs w:val="26"/>
        </w:rPr>
        <w:t>23.03.2023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8E4EC3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8E4EC3">
        <w:rPr>
          <w:rFonts w:eastAsiaTheme="minorEastAsia"/>
          <w:color w:val="000000"/>
          <w:sz w:val="26"/>
          <w:szCs w:val="26"/>
        </w:rPr>
        <w:t>20/22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74A3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F22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24100" w:rsidRDefault="002F222E" w:rsidP="004F0F0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  <w:r w:rsidR="00324100">
        <w:rPr>
          <w:rStyle w:val="af3"/>
          <w:b/>
          <w:color w:val="auto"/>
          <w:sz w:val="26"/>
          <w:szCs w:val="26"/>
        </w:rPr>
        <w:t xml:space="preserve">, </w:t>
      </w:r>
      <w:r w:rsidR="00324100" w:rsidRPr="00324100">
        <w:rPr>
          <w:b/>
          <w:bCs/>
          <w:sz w:val="25"/>
          <w:szCs w:val="25"/>
        </w:rPr>
        <w:t>утвержденный постановлением Администрации города Глазова от 27.05.2022 № 20/10</w:t>
      </w: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0678" w:rsidRPr="00AE44D2" w:rsidRDefault="00A40678" w:rsidP="004F0F09">
      <w:pPr>
        <w:tabs>
          <w:tab w:val="left" w:pos="6360"/>
        </w:tabs>
        <w:spacing w:line="360" w:lineRule="auto"/>
        <w:ind w:firstLine="709"/>
        <w:jc w:val="both"/>
        <w:rPr>
          <w:snapToGrid w:val="0"/>
          <w:sz w:val="25"/>
          <w:szCs w:val="25"/>
        </w:rPr>
      </w:pPr>
      <w:r w:rsidRPr="00AE44D2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A40678" w:rsidRPr="00AE44D2" w:rsidRDefault="00A40678" w:rsidP="00A40678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AE44D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AE44D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137A76">
        <w:rPr>
          <w:sz w:val="25"/>
          <w:szCs w:val="25"/>
        </w:rPr>
        <w:t xml:space="preserve">услуги </w:t>
      </w:r>
      <w:r w:rsidRPr="00AE44D2">
        <w:rPr>
          <w:sz w:val="25"/>
          <w:szCs w:val="25"/>
        </w:rPr>
        <w:t xml:space="preserve"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землю», </w:t>
      </w:r>
      <w:r w:rsidRPr="00AE44D2">
        <w:rPr>
          <w:bCs/>
          <w:sz w:val="25"/>
          <w:szCs w:val="25"/>
        </w:rPr>
        <w:t xml:space="preserve">утвержденный постановлением Администрации города Глазова от 27.05.2022 № 20/10, </w:t>
      </w:r>
      <w:r w:rsidRPr="00AE44D2">
        <w:rPr>
          <w:sz w:val="25"/>
          <w:szCs w:val="25"/>
        </w:rPr>
        <w:t>следующие изменения:</w:t>
      </w:r>
    </w:p>
    <w:p w:rsidR="00A40678" w:rsidRDefault="00A40678" w:rsidP="00A40678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AE44D2">
        <w:rPr>
          <w:color w:val="000000"/>
          <w:sz w:val="25"/>
          <w:szCs w:val="25"/>
        </w:rPr>
        <w:t xml:space="preserve">1.1. Раздел </w:t>
      </w:r>
      <w:r w:rsidRPr="00AE44D2">
        <w:rPr>
          <w:color w:val="000000"/>
          <w:sz w:val="25"/>
          <w:szCs w:val="25"/>
          <w:lang w:val="en-US"/>
        </w:rPr>
        <w:t>V</w:t>
      </w:r>
      <w:r w:rsidRPr="00AE44D2">
        <w:rPr>
          <w:color w:val="000000"/>
          <w:sz w:val="25"/>
          <w:szCs w:val="25"/>
        </w:rPr>
        <w:t xml:space="preserve"> изложить в следующей </w:t>
      </w:r>
      <w:r w:rsidRPr="00AE44D2">
        <w:rPr>
          <w:sz w:val="25"/>
          <w:szCs w:val="25"/>
        </w:rPr>
        <w:t>редакции</w:t>
      </w:r>
      <w:r w:rsidRPr="00AE44D2">
        <w:rPr>
          <w:color w:val="000000"/>
          <w:sz w:val="25"/>
          <w:szCs w:val="25"/>
        </w:rPr>
        <w:t>:</w:t>
      </w:r>
    </w:p>
    <w:p w:rsidR="00A40678" w:rsidRPr="00AE44D2" w:rsidRDefault="00A40678" w:rsidP="00A40678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AE44D2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A40678" w:rsidRPr="00AE44D2" w:rsidRDefault="00A40678" w:rsidP="00A40678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AE44D2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AE44D2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AE44D2">
        <w:rPr>
          <w:sz w:val="25"/>
          <w:szCs w:val="25"/>
        </w:rPr>
        <w:t>»,</w:t>
      </w:r>
      <w:r w:rsidRPr="00AE44D2">
        <w:rPr>
          <w:strike/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AE44D2">
        <w:rPr>
          <w:sz w:val="25"/>
          <w:szCs w:val="25"/>
        </w:rPr>
        <w:t xml:space="preserve">и настоящим Регламентом. </w:t>
      </w:r>
    </w:p>
    <w:p w:rsidR="00A40678" w:rsidRPr="00AE44D2" w:rsidRDefault="00A40678" w:rsidP="00A40678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AE44D2">
        <w:rPr>
          <w:sz w:val="25"/>
          <w:szCs w:val="25"/>
        </w:rPr>
        <w:t>е</w:t>
      </w:r>
      <w:r w:rsidRPr="00AE44D2">
        <w:rPr>
          <w:color w:val="1A1A1A"/>
          <w:sz w:val="25"/>
          <w:szCs w:val="25"/>
        </w:rPr>
        <w:t xml:space="preserve">) Управления, </w:t>
      </w:r>
      <w:r w:rsidRPr="00AE44D2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досудебном (внесудебном) порядке.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5.3.</w:t>
      </w:r>
      <w:r w:rsidRPr="00AE44D2">
        <w:rPr>
          <w:color w:val="1A1A1A"/>
          <w:sz w:val="25"/>
          <w:szCs w:val="25"/>
        </w:rPr>
        <w:t xml:space="preserve"> Заявитель может обратиться с жалобой, в том числе в следующих случаях: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 xml:space="preserve">Удмуртской Республики, </w:t>
      </w:r>
      <w:r w:rsidRPr="00AE44D2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A40678" w:rsidRPr="00AE44D2" w:rsidRDefault="00A40678" w:rsidP="00A40678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AE44D2">
        <w:rPr>
          <w:sz w:val="25"/>
          <w:szCs w:val="25"/>
        </w:rPr>
        <w:t>через многофункциональный центр</w:t>
      </w:r>
      <w:r w:rsidRPr="00AE44D2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AE44D2">
        <w:rPr>
          <w:sz w:val="25"/>
          <w:szCs w:val="25"/>
        </w:rPr>
        <w:t>а также может быть принята при личном приеме.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5.5. </w:t>
      </w:r>
      <w:r w:rsidRPr="00AE44D2">
        <w:rPr>
          <w:color w:val="1A1A1A"/>
          <w:sz w:val="25"/>
          <w:szCs w:val="25"/>
        </w:rPr>
        <w:t>Жалоба должна содержать: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наименование Управления</w:t>
      </w:r>
      <w:r w:rsidRPr="00AE44D2">
        <w:rPr>
          <w:sz w:val="25"/>
          <w:szCs w:val="25"/>
        </w:rPr>
        <w:t>, многофункционального центра, ФИО</w:t>
      </w:r>
      <w:r w:rsidRPr="00AE44D2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центра,</w:t>
      </w:r>
      <w:r w:rsidRPr="00AE44D2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E44D2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AE44D2">
        <w:rPr>
          <w:sz w:val="25"/>
          <w:szCs w:val="25"/>
        </w:rPr>
        <w:t>, многофункционального центра</w:t>
      </w:r>
      <w:r w:rsidRPr="00AE44D2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</w:t>
      </w:r>
      <w:r w:rsidRPr="00AE44D2">
        <w:rPr>
          <w:color w:val="1A1A1A"/>
          <w:sz w:val="25"/>
          <w:szCs w:val="25"/>
        </w:rPr>
        <w:t>;</w:t>
      </w:r>
    </w:p>
    <w:p w:rsidR="00A40678" w:rsidRPr="00AE44D2" w:rsidRDefault="00A40678" w:rsidP="00A40678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AE44D2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A40678" w:rsidRPr="00AE44D2" w:rsidRDefault="00A40678" w:rsidP="00A40678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Жалоба подлежит рассмотрению</w:t>
      </w:r>
      <w:r w:rsidRPr="00AE44D2">
        <w:rPr>
          <w:sz w:val="25"/>
          <w:szCs w:val="25"/>
        </w:rPr>
        <w:t xml:space="preserve">, </w:t>
      </w:r>
      <w:r w:rsidRPr="00AE44D2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По результатам рассмотрения жалобы принимает</w:t>
      </w:r>
      <w:r w:rsidRPr="00AE44D2">
        <w:rPr>
          <w:sz w:val="25"/>
          <w:szCs w:val="25"/>
        </w:rPr>
        <w:t>ся</w:t>
      </w:r>
      <w:r w:rsidRPr="00AE44D2">
        <w:rPr>
          <w:color w:val="1A1A1A"/>
          <w:sz w:val="25"/>
          <w:szCs w:val="25"/>
        </w:rPr>
        <w:t xml:space="preserve"> одно из следующих решений:</w:t>
      </w:r>
    </w:p>
    <w:p w:rsidR="00A40678" w:rsidRPr="00AE44D2" w:rsidRDefault="00A40678" w:rsidP="00A40678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жалоба удовлетворяется,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A40678" w:rsidRPr="00AE44D2" w:rsidRDefault="00A40678" w:rsidP="00A40678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в удовлетворении жалобы</w:t>
      </w:r>
      <w:r w:rsidRPr="00AE44D2">
        <w:rPr>
          <w:sz w:val="25"/>
          <w:szCs w:val="25"/>
        </w:rPr>
        <w:t xml:space="preserve"> отказывается</w:t>
      </w:r>
      <w:r w:rsidRPr="00AE44D2">
        <w:rPr>
          <w:color w:val="1A1A1A"/>
          <w:sz w:val="25"/>
          <w:szCs w:val="25"/>
        </w:rPr>
        <w:t>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hanging="57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5.7. настоящего </w:t>
      </w:r>
      <w:r w:rsidRPr="00AE44D2">
        <w:rPr>
          <w:sz w:val="25"/>
          <w:szCs w:val="25"/>
        </w:rPr>
        <w:t>Р</w:t>
      </w:r>
      <w:r w:rsidRPr="00AE44D2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AE44D2">
        <w:rPr>
          <w:sz w:val="25"/>
          <w:szCs w:val="25"/>
        </w:rPr>
        <w:t>Администрацией города Глазова, многофункциональным центром</w:t>
      </w:r>
      <w:r w:rsidRPr="00AE44D2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44D2">
        <w:rPr>
          <w:color w:val="1A1A1A"/>
          <w:sz w:val="25"/>
          <w:szCs w:val="25"/>
        </w:rPr>
        <w:t>неудобства</w:t>
      </w:r>
      <w:proofErr w:type="gramEnd"/>
      <w:r w:rsidRPr="00AE44D2">
        <w:rPr>
          <w:color w:val="1A1A1A"/>
          <w:sz w:val="25"/>
          <w:szCs w:val="25"/>
        </w:rPr>
        <w:t xml:space="preserve"> и указывается </w:t>
      </w:r>
      <w:r w:rsidRPr="00AE44D2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A40678" w:rsidRPr="00AE44D2" w:rsidRDefault="00A40678" w:rsidP="00A40678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признания </w:t>
      </w:r>
      <w:proofErr w:type="gramStart"/>
      <w:r w:rsidRPr="00AE44D2">
        <w:rPr>
          <w:color w:val="1A1A1A"/>
          <w:sz w:val="25"/>
          <w:szCs w:val="25"/>
        </w:rPr>
        <w:t>жалобы</w:t>
      </w:r>
      <w:proofErr w:type="gramEnd"/>
      <w:r w:rsidRPr="00AE44D2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0678" w:rsidRPr="00AE44D2" w:rsidRDefault="00A40678" w:rsidP="00A40678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AE44D2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AE44D2">
        <w:rPr>
          <w:color w:val="1A1A1A"/>
          <w:sz w:val="25"/>
          <w:szCs w:val="25"/>
        </w:rPr>
        <w:t xml:space="preserve"> или преступления, </w:t>
      </w:r>
      <w:r w:rsidRPr="00AE44D2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AE44D2">
        <w:rPr>
          <w:color w:val="1A1A1A"/>
          <w:sz w:val="25"/>
          <w:szCs w:val="25"/>
        </w:rPr>
        <w:t xml:space="preserve"> незамедлительно направляют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имеющиеся материалы в органы прокуратуры.».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40678" w:rsidRPr="00AE44D2" w:rsidRDefault="00A40678" w:rsidP="00A40678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         </w:t>
      </w: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F5B3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2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F22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74A3E" w:rsidP="008E4EC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B74A3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9D" w:rsidRDefault="006F109D">
      <w:r>
        <w:separator/>
      </w:r>
    </w:p>
  </w:endnote>
  <w:endnote w:type="continuationSeparator" w:id="0">
    <w:p w:rsidR="006F109D" w:rsidRDefault="006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9D" w:rsidRDefault="006F109D">
      <w:r>
        <w:separator/>
      </w:r>
    </w:p>
  </w:footnote>
  <w:footnote w:type="continuationSeparator" w:id="0">
    <w:p w:rsidR="006F109D" w:rsidRDefault="006F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819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2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74A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819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22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A3E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B74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5F2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1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60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2D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C5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EE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0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20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0028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106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A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6A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E3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88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6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C1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A3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36E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36F4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C0AAF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F835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2243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FA81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5471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A0C7E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2E58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F7A13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BC66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E3F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D61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166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C65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F83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E47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101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0BC60E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F29AAA" w:tentative="1">
      <w:start w:val="1"/>
      <w:numFmt w:val="lowerLetter"/>
      <w:lvlText w:val="%2."/>
      <w:lvlJc w:val="left"/>
      <w:pPr>
        <w:ind w:left="1440" w:hanging="360"/>
      </w:pPr>
    </w:lvl>
    <w:lvl w:ilvl="2" w:tplc="11AC5EA2" w:tentative="1">
      <w:start w:val="1"/>
      <w:numFmt w:val="lowerRoman"/>
      <w:lvlText w:val="%3."/>
      <w:lvlJc w:val="right"/>
      <w:pPr>
        <w:ind w:left="2160" w:hanging="180"/>
      </w:pPr>
    </w:lvl>
    <w:lvl w:ilvl="3" w:tplc="EDB6E59A" w:tentative="1">
      <w:start w:val="1"/>
      <w:numFmt w:val="decimal"/>
      <w:lvlText w:val="%4."/>
      <w:lvlJc w:val="left"/>
      <w:pPr>
        <w:ind w:left="2880" w:hanging="360"/>
      </w:pPr>
    </w:lvl>
    <w:lvl w:ilvl="4" w:tplc="EE863D64" w:tentative="1">
      <w:start w:val="1"/>
      <w:numFmt w:val="lowerLetter"/>
      <w:lvlText w:val="%5."/>
      <w:lvlJc w:val="left"/>
      <w:pPr>
        <w:ind w:left="3600" w:hanging="360"/>
      </w:pPr>
    </w:lvl>
    <w:lvl w:ilvl="5" w:tplc="780E4E48" w:tentative="1">
      <w:start w:val="1"/>
      <w:numFmt w:val="lowerRoman"/>
      <w:lvlText w:val="%6."/>
      <w:lvlJc w:val="right"/>
      <w:pPr>
        <w:ind w:left="4320" w:hanging="180"/>
      </w:pPr>
    </w:lvl>
    <w:lvl w:ilvl="6" w:tplc="8F8C8128" w:tentative="1">
      <w:start w:val="1"/>
      <w:numFmt w:val="decimal"/>
      <w:lvlText w:val="%7."/>
      <w:lvlJc w:val="left"/>
      <w:pPr>
        <w:ind w:left="5040" w:hanging="360"/>
      </w:pPr>
    </w:lvl>
    <w:lvl w:ilvl="7" w:tplc="619E837E" w:tentative="1">
      <w:start w:val="1"/>
      <w:numFmt w:val="lowerLetter"/>
      <w:lvlText w:val="%8."/>
      <w:lvlJc w:val="left"/>
      <w:pPr>
        <w:ind w:left="5760" w:hanging="360"/>
      </w:pPr>
    </w:lvl>
    <w:lvl w:ilvl="8" w:tplc="E06C1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16C60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AE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48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C1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4C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E1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F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D5EF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02A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5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A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A3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1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0B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6D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30A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8F9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28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6CD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C1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8B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EFD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4F8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386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42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E6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66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86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65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27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4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03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5BCBD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DE4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BC2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03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6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0E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2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0A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E8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678B5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A142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83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2E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8A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E3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68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B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47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2E8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2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A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C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2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AA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4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6A0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8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09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64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5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C6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C3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D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85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FD61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04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83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5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2C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0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0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09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306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8944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04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C7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D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6D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1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C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AB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DF0ED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440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E0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E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C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CA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4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44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AF6B8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001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00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B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EB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8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A8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27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44491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869B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66BF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3A33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AEBE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A059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CEA60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C320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645E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81AE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B85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A5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D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7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E7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4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0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48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CAEB1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4CA8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669B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C21A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9418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78ED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7C7B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9EE9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7E3E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A5EA7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E3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547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9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C3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4C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2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80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05E2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9C6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A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6B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20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3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42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E920EE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82CF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E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D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45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27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B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A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BBBEF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C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C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C4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6E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61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89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9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D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8648F0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B0CB8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0E032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7CA37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3698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ACF9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B873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642113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B842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159661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7CAF6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6CC35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6A05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B44E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8CCF3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7189E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37294D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F667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A9D4D0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1BC24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66A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EEE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B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60E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8C7A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725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420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920EC8"/>
    <w:multiLevelType w:val="hybridMultilevel"/>
    <w:tmpl w:val="7CD220DA"/>
    <w:lvl w:ilvl="0" w:tplc="CC462B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F60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48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00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69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C0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C5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41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07489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B6D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09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A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82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89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E4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2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47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74624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6AC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A8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2D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42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2C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45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F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1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60EE"/>
    <w:multiLevelType w:val="hybridMultilevel"/>
    <w:tmpl w:val="87507612"/>
    <w:lvl w:ilvl="0" w:tplc="5F1C2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DE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09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D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60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2A0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A5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CA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8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EA56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8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26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EE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29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6A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6D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E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5"/>
  </w:num>
  <w:num w:numId="43">
    <w:abstractNumId w:val="39"/>
  </w:num>
  <w:num w:numId="44">
    <w:abstractNumId w:val="27"/>
  </w:num>
  <w:num w:numId="45">
    <w:abstractNumId w:val="4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3"/>
    <w:rsid w:val="00137A76"/>
    <w:rsid w:val="002F222E"/>
    <w:rsid w:val="00324100"/>
    <w:rsid w:val="00343E3B"/>
    <w:rsid w:val="00381987"/>
    <w:rsid w:val="004F0F09"/>
    <w:rsid w:val="00626AEE"/>
    <w:rsid w:val="006F109D"/>
    <w:rsid w:val="008E4EC3"/>
    <w:rsid w:val="00A40678"/>
    <w:rsid w:val="00B74A3E"/>
    <w:rsid w:val="00CC268A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A40678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A4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A40678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A4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2023-06-20T12:08:00Z</dcterms:created>
  <dcterms:modified xsi:type="dcterms:W3CDTF">2023-06-20T12:08:00Z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