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B4" w:rsidRPr="00F01B06" w:rsidRDefault="005237B4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</w:p>
    <w:p w:rsidR="00547E1B" w:rsidRPr="00F01B06" w:rsidRDefault="00547E1B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F01B06">
        <w:rPr>
          <w:rFonts w:ascii="Times New Roman" w:hAnsi="Times New Roman"/>
          <w:b/>
          <w:sz w:val="26"/>
          <w:szCs w:val="26"/>
        </w:rPr>
        <w:t xml:space="preserve">Отчет </w:t>
      </w:r>
    </w:p>
    <w:p w:rsidR="00547E1B" w:rsidRPr="00F01B06" w:rsidRDefault="00547E1B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F01B06">
        <w:rPr>
          <w:rFonts w:ascii="Times New Roman" w:hAnsi="Times New Roman"/>
          <w:b/>
          <w:sz w:val="26"/>
          <w:szCs w:val="26"/>
        </w:rPr>
        <w:t xml:space="preserve">об исполнении Плана мероприятий по реализации </w:t>
      </w:r>
    </w:p>
    <w:p w:rsidR="00547E1B" w:rsidRPr="00F01B06" w:rsidRDefault="00547E1B" w:rsidP="00547E1B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F01B06">
        <w:rPr>
          <w:rFonts w:ascii="Times New Roman" w:hAnsi="Times New Roman"/>
          <w:b/>
          <w:sz w:val="26"/>
          <w:szCs w:val="26"/>
        </w:rPr>
        <w:t xml:space="preserve">Стратегии социально – экономического развития  муниципального образования «Город Глазов» </w:t>
      </w:r>
      <w:r w:rsidR="00BE4C4C" w:rsidRPr="00F01B06">
        <w:rPr>
          <w:rFonts w:ascii="Times New Roman" w:hAnsi="Times New Roman"/>
          <w:b/>
          <w:sz w:val="26"/>
          <w:szCs w:val="26"/>
        </w:rPr>
        <w:t>за 202</w:t>
      </w:r>
      <w:r w:rsidR="007E3256" w:rsidRPr="00F01B06">
        <w:rPr>
          <w:rFonts w:ascii="Times New Roman" w:hAnsi="Times New Roman"/>
          <w:b/>
          <w:sz w:val="26"/>
          <w:szCs w:val="26"/>
        </w:rPr>
        <w:t>3</w:t>
      </w:r>
      <w:r w:rsidRPr="00F01B06">
        <w:rPr>
          <w:rFonts w:ascii="Times New Roman" w:hAnsi="Times New Roman"/>
          <w:b/>
          <w:sz w:val="26"/>
          <w:szCs w:val="26"/>
        </w:rPr>
        <w:t xml:space="preserve"> год</w:t>
      </w:r>
    </w:p>
    <w:tbl>
      <w:tblPr>
        <w:tblW w:w="15876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406"/>
        <w:gridCol w:w="1129"/>
        <w:gridCol w:w="531"/>
        <w:gridCol w:w="16"/>
        <w:gridCol w:w="9"/>
        <w:gridCol w:w="15"/>
        <w:gridCol w:w="572"/>
        <w:gridCol w:w="68"/>
        <w:gridCol w:w="75"/>
        <w:gridCol w:w="428"/>
        <w:gridCol w:w="39"/>
        <w:gridCol w:w="110"/>
        <w:gridCol w:w="422"/>
        <w:gridCol w:w="7"/>
        <w:gridCol w:w="541"/>
        <w:gridCol w:w="23"/>
        <w:gridCol w:w="1904"/>
        <w:gridCol w:w="23"/>
        <w:gridCol w:w="2242"/>
        <w:gridCol w:w="23"/>
        <w:gridCol w:w="1501"/>
        <w:gridCol w:w="23"/>
        <w:gridCol w:w="4211"/>
      </w:tblGrid>
      <w:tr w:rsidR="00F01B06" w:rsidRPr="00F01B06" w:rsidTr="008A410D">
        <w:trPr>
          <w:trHeight w:val="20"/>
          <w:tblHeader/>
        </w:trPr>
        <w:tc>
          <w:tcPr>
            <w:tcW w:w="558" w:type="dxa"/>
            <w:vMerge w:val="restart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06" w:type="dxa"/>
            <w:vMerge w:val="restart"/>
            <w:vAlign w:val="center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2856" w:type="dxa"/>
            <w:gridSpan w:val="14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Финансирование реализации мероприятия, ты.</w:t>
            </w:r>
            <w:r w:rsidR="00655327"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 w:val="restart"/>
            <w:vAlign w:val="center"/>
          </w:tcPr>
          <w:p w:rsidR="00E4688F" w:rsidRPr="00F01B06" w:rsidRDefault="00E4688F" w:rsidP="00A96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  <w:r w:rsidR="00655327"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1B06">
              <w:rPr>
                <w:rFonts w:ascii="Times New Roman" w:hAnsi="Times New Roman" w:cs="Times New Roman"/>
                <w:b/>
                <w:sz w:val="18"/>
                <w:szCs w:val="18"/>
              </w:rPr>
              <w:t>(подпрограмма), в рамках которой реализуется мероприятие</w:t>
            </w:r>
          </w:p>
        </w:tc>
        <w:tc>
          <w:tcPr>
            <w:tcW w:w="1524" w:type="dxa"/>
            <w:gridSpan w:val="2"/>
            <w:vMerge w:val="restart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Показатели реализации мероприятий</w:t>
            </w:r>
          </w:p>
        </w:tc>
        <w:tc>
          <w:tcPr>
            <w:tcW w:w="4211" w:type="dxa"/>
            <w:vMerge w:val="restart"/>
            <w:vAlign w:val="center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Достигнутый результат (включая выполнение закрепленных целевых показателей), причины невыполнения (несвоевременного выполнения) мероприятия</w:t>
            </w:r>
          </w:p>
        </w:tc>
      </w:tr>
      <w:tr w:rsidR="00F01B06" w:rsidRPr="00F01B06" w:rsidTr="008A410D">
        <w:trPr>
          <w:trHeight w:val="20"/>
          <w:tblHeader/>
        </w:trPr>
        <w:tc>
          <w:tcPr>
            <w:tcW w:w="558" w:type="dxa"/>
            <w:vMerge/>
          </w:tcPr>
          <w:p w:rsidR="00E4688F" w:rsidRPr="00F01B06" w:rsidRDefault="00E4688F" w:rsidP="00A9625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E4688F" w:rsidRPr="00F01B06" w:rsidRDefault="00E4688F" w:rsidP="00A9625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vMerge w:val="restart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85" w:type="dxa"/>
            <w:gridSpan w:val="10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источникам финансирования </w:t>
            </w:r>
          </w:p>
        </w:tc>
        <w:tc>
          <w:tcPr>
            <w:tcW w:w="1927" w:type="dxa"/>
            <w:gridSpan w:val="2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1" w:type="dxa"/>
            <w:vMerge/>
            <w:vAlign w:val="center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  <w:tblHeader/>
        </w:trPr>
        <w:tc>
          <w:tcPr>
            <w:tcW w:w="558" w:type="dxa"/>
            <w:vMerge/>
          </w:tcPr>
          <w:p w:rsidR="00E4688F" w:rsidRPr="00F01B06" w:rsidRDefault="00E4688F" w:rsidP="00A9625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E4688F" w:rsidRPr="00F01B06" w:rsidRDefault="00E4688F" w:rsidP="00A9625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577" w:type="dxa"/>
            <w:gridSpan w:val="3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</w:p>
        </w:tc>
        <w:tc>
          <w:tcPr>
            <w:tcW w:w="429" w:type="dxa"/>
            <w:gridSpan w:val="2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564" w:type="dxa"/>
            <w:gridSpan w:val="2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Внебюдж </w:t>
            </w:r>
          </w:p>
        </w:tc>
        <w:tc>
          <w:tcPr>
            <w:tcW w:w="1927" w:type="dxa"/>
            <w:gridSpan w:val="2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Merge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1" w:type="dxa"/>
            <w:vMerge/>
            <w:vAlign w:val="center"/>
          </w:tcPr>
          <w:p w:rsidR="00E4688F" w:rsidRPr="00F01B06" w:rsidRDefault="00E4688F" w:rsidP="00A9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1. Современная экономика.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1.1.1. Интенсификация промышленного потенциала</w:t>
            </w:r>
            <w:r w:rsidR="001D27E3"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E4688F" w:rsidRPr="00F01B06" w:rsidRDefault="00E4688F" w:rsidP="00A962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E4688F" w:rsidRPr="00F01B06" w:rsidRDefault="00E4688F" w:rsidP="0053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Внедрение Регионального инвестиционного стандарта в муниципальном образовании</w:t>
            </w:r>
          </w:p>
        </w:tc>
        <w:tc>
          <w:tcPr>
            <w:tcW w:w="1129" w:type="dxa"/>
          </w:tcPr>
          <w:p w:rsidR="00E4688F" w:rsidRPr="00F01B06" w:rsidRDefault="00E4688F" w:rsidP="00A962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E4688F" w:rsidRPr="00F01B06" w:rsidRDefault="00E4688F" w:rsidP="0053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2265" w:type="dxa"/>
            <w:gridSpan w:val="2"/>
          </w:tcPr>
          <w:p w:rsidR="00E4688F" w:rsidRPr="00F01B06" w:rsidRDefault="00E4688F" w:rsidP="0053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благоприятных условий для привлечения инвестиций»</w:t>
            </w:r>
          </w:p>
        </w:tc>
        <w:tc>
          <w:tcPr>
            <w:tcW w:w="1524" w:type="dxa"/>
            <w:gridSpan w:val="2"/>
          </w:tcPr>
          <w:p w:rsidR="00E4688F" w:rsidRPr="00F01B06" w:rsidRDefault="00E4688F" w:rsidP="0053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Число новых рабочих мест, созданных на крупных предприятиях в результате реализации программ развития (нарастающим итогом), ед. 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</w:pPr>
            <w:r w:rsidRPr="00F0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Размещение на официальном сайте МО информации обо всех элементах Регионального инвестиционного стандарта </w:t>
            </w:r>
            <w:hyperlink r:id="rId8" w:history="1">
              <w:r w:rsidRPr="00F01B06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en-US"/>
                </w:rPr>
                <w:t>http://glazov-gov.ru/biznes/investor/reginst/</w:t>
              </w:r>
            </w:hyperlink>
            <w:r w:rsidRPr="00F01B06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</w:pPr>
            <w:r w:rsidRPr="00F0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Наличие на официальном сайте МО информации об инвестиционном уполномоченном и (или) инвестиционной команде МО </w:t>
            </w:r>
            <w:hyperlink r:id="rId9" w:history="1">
              <w:r w:rsidRPr="00F01B06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en-US"/>
                </w:rPr>
                <w:t>http://glazov-gov.ru/biznes/investor/</w:t>
              </w:r>
            </w:hyperlink>
            <w:r w:rsidRPr="00F01B06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0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Размещение на официальном сайте МО Инвестиционной карты УР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</w:pPr>
            <w:r w:rsidRPr="00F01B06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http://glazov-gov.ru/biznes/investor/iploshchadki/.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</w:pPr>
            <w:r w:rsidRPr="00F01B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Реализация свода инвестиционных правил на уровне МО. </w:t>
            </w:r>
            <w:r w:rsidRPr="00F01B06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Сроки при реализации алгоритмов действий инвесторов соблюдаются</w:t>
            </w:r>
          </w:p>
          <w:p w:rsidR="00A603DB" w:rsidRPr="00F01B06" w:rsidRDefault="00F01B06" w:rsidP="00A603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</w:pPr>
            <w:hyperlink r:id="rId10" w:history="1">
              <w:r w:rsidR="00A603DB" w:rsidRPr="00F01B06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en-US"/>
                </w:rPr>
                <w:t>http://glazov-gov.ru/biznes/investor/algdeistv/</w:t>
              </w:r>
            </w:hyperlink>
            <w:r w:rsidR="00A603DB" w:rsidRPr="00F01B06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>.</w:t>
            </w:r>
          </w:p>
          <w:p w:rsidR="00E4688F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/>
              </w:rPr>
              <w:t xml:space="preserve">В соответствии с методическими рекомендациями Минэкономразвития РФ в разделе инвестиционный портрет размещена информация: общая характеристика муниципального образования, презентация «Глазов. Инвестиционные возможности» </w:t>
            </w:r>
            <w:hyperlink r:id="rId11" w:history="1">
              <w:r w:rsidRPr="00F01B06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en-US"/>
                </w:rPr>
                <w:t>http://glazov-gov.ru/biznes/investor/portret/</w:t>
              </w:r>
            </w:hyperlink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E4688F" w:rsidRPr="00F01B06" w:rsidRDefault="00E4688F" w:rsidP="00A962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E4688F" w:rsidRPr="00F01B06" w:rsidRDefault="00E4688F" w:rsidP="0053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в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работе Совета директоров города Глазова  </w:t>
            </w:r>
          </w:p>
        </w:tc>
        <w:tc>
          <w:tcPr>
            <w:tcW w:w="1129" w:type="dxa"/>
          </w:tcPr>
          <w:p w:rsidR="00E4688F" w:rsidRPr="00F01B06" w:rsidRDefault="00E4688F" w:rsidP="00A962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E4688F" w:rsidRPr="00F01B06" w:rsidRDefault="00E4688F" w:rsidP="00A9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E4688F" w:rsidRPr="00F01B06" w:rsidRDefault="00E4688F" w:rsidP="0053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2265" w:type="dxa"/>
            <w:gridSpan w:val="2"/>
          </w:tcPr>
          <w:p w:rsidR="00E4688F" w:rsidRPr="00F01B06" w:rsidRDefault="00E4688F" w:rsidP="0053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Программа «Создание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условий для устойчивого экономического развития», подпрограмма «Создание благоприятных условий для привлечения инвестиций»</w:t>
            </w:r>
          </w:p>
        </w:tc>
        <w:tc>
          <w:tcPr>
            <w:tcW w:w="1524" w:type="dxa"/>
            <w:gridSpan w:val="2"/>
          </w:tcPr>
          <w:p w:rsidR="00E4688F" w:rsidRPr="00F01B06" w:rsidRDefault="00E4688F" w:rsidP="00534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Средняя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заработная плата на крупных и средних предприятиях, тыс. руб. </w:t>
            </w:r>
          </w:p>
        </w:tc>
        <w:tc>
          <w:tcPr>
            <w:tcW w:w="4211" w:type="dxa"/>
            <w:vAlign w:val="center"/>
          </w:tcPr>
          <w:p w:rsidR="00E4688F" w:rsidRPr="00F01B06" w:rsidRDefault="00A603DB" w:rsidP="00A9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6"/>
              </w:rPr>
              <w:lastRenderedPageBreak/>
              <w:t xml:space="preserve">Проведено 3 заседания Совета директоров. </w:t>
            </w:r>
            <w:r w:rsidRPr="00F01B06">
              <w:rPr>
                <w:rFonts w:ascii="Times New Roman" w:eastAsia="Times New Roman" w:hAnsi="Times New Roman"/>
                <w:sz w:val="18"/>
                <w:szCs w:val="16"/>
              </w:rPr>
              <w:lastRenderedPageBreak/>
              <w:t xml:space="preserve">Основные рассматриваемые вопросы: </w:t>
            </w:r>
            <w:r w:rsidRPr="00F01B06">
              <w:rPr>
                <w:rFonts w:ascii="Times New Roman" w:hAnsi="Times New Roman"/>
                <w:sz w:val="18"/>
                <w:szCs w:val="16"/>
              </w:rPr>
              <w:t>динамика рынка труда в г. Глазове; об итогах полученной от предприятий г. Глазова информации по трудоустроенным за 2022 сотрудникам; возможности филиала Республиканского ЦЗН «ЦЗН г. Глазова и Глазовского района» по поиску сотрудников на предприятия г. Глазова. О модернизации ЦЗН г. Глазова и Глазовского района; о возможностях трудоустройства жителей новых регионов РФ; о Концепции Образовательно- квалификационного центра «Вид на жизнь»; о создании Совета работающей молодежи; о налогах и налоговых поступлениях в 2023 году. Задача роста поступлений в бюджет на 15%; День города. Статус подготовки. Выставка предприятий; о взаимодействии с территориальной трехсторонней комиссии по регулированию социально-трудовых отношений; диспансеризация работников предприятий. Предлагаемый график диспансеризации.</w:t>
            </w:r>
          </w:p>
        </w:tc>
      </w:tr>
      <w:tr w:rsidR="00F01B06" w:rsidRPr="00F01B06" w:rsidTr="00727906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Открытие в городе новых производств и сервисов, являющиеся приоритетными в рамках утвержденной Стратегии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Глава города Глазова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благоприятных условий для привлечения инвестиций»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1. Число работников, привлеченных на предприятия города из других городов, тыс. чел. 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новых ЮЛ, осуществляющих виды деятельности, являющиеся  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приоритетными в рамках утвержденной Стратегии 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F01B06">
              <w:rPr>
                <w:rFonts w:ascii="Times New Roman" w:hAnsi="Times New Roman"/>
                <w:sz w:val="18"/>
                <w:szCs w:val="16"/>
              </w:rPr>
              <w:lastRenderedPageBreak/>
              <w:t>Начата реализация 3 новых инвестиционных проектов:</w:t>
            </w:r>
          </w:p>
          <w:p w:rsidR="00A603DB" w:rsidRPr="00F01B06" w:rsidRDefault="00A603DB" w:rsidP="00A603DB">
            <w:pPr>
              <w:pStyle w:val="a4"/>
              <w:ind w:firstLine="65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F01B06">
              <w:rPr>
                <w:rFonts w:ascii="Times New Roman" w:hAnsi="Times New Roman"/>
                <w:sz w:val="18"/>
                <w:szCs w:val="16"/>
              </w:rPr>
              <w:t>«Создание «Транспортно – логистического центра «Глазовский» ООО ТЛЦ «Глазовский»); «Создание крупнотоннажного производства постоянных редкоземельных магнитов» (ООО Элемаш Магнит»); «Строительство промышленного парка в г. Глазов» (АО УК Промпарк).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</w:rPr>
            </w:pPr>
          </w:p>
        </w:tc>
      </w:tr>
      <w:tr w:rsidR="00F01B06" w:rsidRPr="00F01B06" w:rsidTr="00B606B7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Содействие в реализации инвестиционных проектов в лесоперерабатывающей сфере (ООО "Новая мебельная фабрика", ООО "Глазовский фанерный завод" и т.д.), в т.ч. в части обеспечения инженерной и транспортной инфраструктурой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"Создание условий для устойчивого экономического развития", подпрограмма "Создание условий для привлечения инвестиций"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1. Число занятых на предприятиях, реализующих инвестиционные проекты в лесоперерабатывающей сфере, чел.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2. Объем отгруженной продукции предприятиями, реализующих инвестиционные проекты в лесоперерабатывающей сфере,  тыс. руб.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6"/>
              </w:rPr>
              <w:t>Инфраструктура для проекта ООО «Новая мебельная фабрика» построена (бюджетные средства всех уровней 102,2 млн. руб., налоговые поступления за 2,5 года – 155,5 млн. руб.), предприятие приступило к расширению производства, построен новый корпус, идет закупка производственной линии.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6"/>
              </w:rPr>
              <w:t>По ООО «Глазовский фанерный завод» - предприятие вышло из состава резидентов ТОР, но реализация проекта продолжается, осуществляются мероприятия по поиску поставщиков оборудования.</w:t>
            </w:r>
          </w:p>
        </w:tc>
      </w:tr>
      <w:tr w:rsidR="00F01B06" w:rsidRPr="00F01B06" w:rsidTr="00AA14DF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формированию транспортного логистического центра, в т. ч.  в части обеспечения инженерной и транспортной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инфраструктурой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экономики, развития города, промышленности, потребительского рынка и предпринимательства Администрации города Глазова 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благоприятных условий для привлечения инвестиций»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Ввод в эксплуатацию транспортно-логистического центра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6"/>
              </w:rPr>
              <w:t>Осуществляются работы по проектированию выноса сетей, гидротехнического сооружения, также комплексные инженерные изыскания ТЛЦ «Глазовский». Муниципалитет работает с инвестором по принципу «Одного окна».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в реализации  проекта по созданию Корпорацией развитии УР промышленного парка в г. Глазове, в т. ч.  в части обеспечения инженерной и транспортной инфраструктурой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экономики, развития города, промышленности, потребительского рынка и предпринимательства Администрации города Глазова 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«Муниципальное хозяйство»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Ввод в эксплуатацию Промышленного парка 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1.1.2 Формирование производственно-учебной среды.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Развитие механизмов целевой подготовки работников в рамках соглашений с работодателями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-2025</w:t>
            </w:r>
          </w:p>
        </w:tc>
        <w:tc>
          <w:tcPr>
            <w:tcW w:w="2856" w:type="dxa"/>
            <w:gridSpan w:val="1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образования  Администрации города Глазова 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Вне программное мероприятие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предприятий, заключивших соглашения о целевой подготовке работников, ед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достижению целевого показателя запланирована на 2024 год.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Формирование образовательно-производственн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 кластера («Профессионалитет»)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по социальной политике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Вне программное мероприятие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Доля студентов СПО (обучающихся по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программе «Профессионалитет», заключивших целевой договор обучения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Создание учебно-производственных участков на предприятиях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2023-2025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по социальной политике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Вне программное мероприятие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Число созданных на предприятиях города учебно-производственных участков, ед. 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1.2.2. Развитие внутреннего туризма.</w:t>
            </w:r>
          </w:p>
        </w:tc>
      </w:tr>
      <w:tr w:rsidR="00F01B06" w:rsidRPr="00F01B06" w:rsidTr="00EC39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Создание концепции развития туризма в городе Глазове, в т.ч. Единого туристического центра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по социальной политике, начальник управления экономики, развития города, промышленности, потребительского рынка и предпринимательства Администрации города Глазова 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условий для развития туризма в муниципальном образовании «Город Глазов»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Факт создания единого туристического центра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Факт формирования концепции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вовлечённых в работу туристического центра культурных учреждений, бизнес-структур (ед.)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людей, обратившихся за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услугами в туристический центр</w:t>
            </w:r>
          </w:p>
        </w:tc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Проект создания ТИЦ находится в разработке, запланировано создание ПСД к концу 2024 года; изучены методические рекомендации по созданию ТИЦ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Развитие потенциала рекреационного и спортивного туризма, ок</w:t>
            </w:r>
            <w:r w:rsidR="00F30FBE"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азание содействия в реализации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проектов: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FBE"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- культурно-туристический парк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«ДондыДор»;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- городище «Иднакар»;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- Парковая набережная (пустырь)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F30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экономики, развития города, промышленности, потребительского рынка и предпринимательств</w:t>
            </w:r>
            <w:r w:rsidR="00F30FBE"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а Администрации города Глазова,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директор АНО «Центр развития бизнеса и городской среды»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«Создание условий для развития туризма в муниципальном образовании «Город Глазов»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01B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F30FBE" w:rsidRPr="00F01B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Культурно-туристический парк </w:t>
            </w:r>
            <w:r w:rsidRPr="00F01B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«ДондыДор» - продолжается процесс доработки и согласования генплана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1.3.2. Создание "безбарьерной" среды для развития малого и среднего предпринимательства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начинающим и действующим предпринимателям комплекса услуг, направленных на вовлечение в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предпринимательскую деятельность, а также информационно-консультационных   услуг в оффлайн и онлайн форматах 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«Центр развития бизнеса и городской среды» (по согласованию)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, Администрация г.</w:t>
            </w:r>
            <w:r w:rsidR="00F30FBE"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Глазова, 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Корпорация развития УР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«Развитие малого и среднего предпринимательства»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Доля среднесписочной численности работников (без внешних совместителей) малых и средних предприятий в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среднесписочной численности работников (без внешних совместителей) всех предприятий и организаций, %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Объем налоговых доходов, генерируемых малым и средним бизнесом, на территории города, тыс. руб. на 1 занятого в малом и среднем бизнесе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АНО ЦРБ и ГС за 12 месяцев 2023 года оказано 627 консультаций по написанию бизнес-планов, составлению финансовой модели, ведению бизнеса, налоговые, юридические и бухгалтерские консультации. 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Подготовлено «Под ключ» 85 бизнес-планов для получения государственной социальной помощи на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основании социального контракта (объем инвестиций в связи с реализацией социальных контрактов – 16,98 млн. рублей).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Для привлечения потенциальных резидентов в 2023 проведены консультации по получению статуса резидента ТОР с 8 предприятиями; потенциальным инвесторам/субъектам МСП в течении года были предложены объекты недвижимости и земельные участки – 32 з/у (муниципальные), 9 здания/помещения (3 муниципальные, 6 коммерческие).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Содействие формированию предпринимательского сообщества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2023-2025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«Центр развития бизнеса и городской среды»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«Развитие малого и среднего предпринимательства»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ежегодных мероприятий с участием предпринимательского сообщества, ед</w:t>
            </w:r>
            <w:r w:rsidR="00F30FBE" w:rsidRPr="00F01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предпринимателей, регулярно участвующих в мероприятиях, организуемых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предпринимательским сообществом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 Профориентационная сессия в рамках Национального проекта "Малое и среднее предпринимательство и поддержка индивидуальной предпринимательской инициативы",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2) «Меры поддержки и инструменты развития бизнеса в 2023 году» совместно с Корпорацией УР,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3) Нетворкинг местных мастеров. Обм</w:t>
            </w:r>
            <w:r w:rsidR="00F30FBE"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ен опытом, методикой, целевой ау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диторией между ремесленниками, художниками и фотографами города Глазова,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4) Республиканский форум "Ритм в Удмуртии": обучающая программа "Социальное предпринимательство",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5) Встреча-обсуждение "Создание розничной точки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местных мастеров". Образовательный модуль по получению муниципальной аренды, ремонту муниципального имущества, мерам поддержки,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6) Встреча в честь 4-летия бизнес-сообщества "Время первых". Обучение формированию и размещению социально-предпринимательских проектов в "Атласе счастья" (сервис "Смарт-Глазов"),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7) Учебный практикум "Проектирование торговой точки местных мастеров",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8) Молодежный Форум "Я-активист: Меры поддержки молодых и социальных предпринимателей, гранты и субсидии",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9) встречи предпринимателей города с учащимися районных школ,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10) Сбор субъектов МСП на интенсив от союза атомной отрасли «Атомн</w:t>
            </w:r>
            <w:r w:rsidR="00F30FBE"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ые города» для ФЛ, самозанятых,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ИП и социальных предпринимателей с 11.07-15.07 на площадке Короленко 8,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11) Бизнес-мастерская совместно с АО «Атом ТОР» и СУЗами,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12) Мастер-класс "Яндекс-Бизнес" с Марией Беляевой,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13) Встреча "Создание координационного совета по туризму"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Поддержка самозанятых граждан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«Центр развития бизнеса и городской среды»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«Развитие малого и среднего предпринимательства»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Доля самозанятых граждан, получивших поддержку, от общего числа самозанятых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граждан, %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hanging="16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lastRenderedPageBreak/>
              <w:t>Обучено 84 самозанятых гражданина.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 xml:space="preserve">За 2023 года оказано </w:t>
            </w: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консультаций по написанию бизнес-планов, составлению финансовой модели, ведению бизнеса, налоговые, юридические и бухгалтерские консультации 84 самозанятым.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Итого получили поддержку 168 человек.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Направление 2. Безопасный и удобный для жизни город.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2.1.1 Формирование комфортной городской среды.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Повышение использования потенциала незастроенных и неэффективно используемых территорий города (резерв города) определенных в рамках программы пространственного развития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-2025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архитектуры и градостроительства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«Территориальное развитие (градостроительство и землеустройство)»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Ввод в оборот территорий (резерва города) определенных в рамках программы пространственного развития, га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bCs/>
                <w:sz w:val="18"/>
                <w:szCs w:val="18"/>
              </w:rPr>
              <w:t>Планируется выполнение в 2024 г.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общественных пространств, формирующих зеленый каркас города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57" w:firstLine="1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реконструкции Заречного парка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57" w:firstLine="1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реконструкции бульвара К. Маркса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57" w:firstLine="1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капитального ремонта ул. Первомайской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Реконструкция бульвара Карла Маркса (1этап выполнен)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Модернизация инфраструктуры освещения в городской среде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улиц с освещением, %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«Горсвет» в 2023 году было установлено 250 светильников. Доля улиц с освещением увеличилась до 77% (факт 2022 года – 75%, план 2023 год - 76%).</w:t>
            </w:r>
          </w:p>
        </w:tc>
      </w:tr>
      <w:tr w:rsidR="00F01B06" w:rsidRPr="00F01B06" w:rsidTr="00E35313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Комплексный ремонт фасадов домов на центральных улицах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зданий на центральных улицах с отремонтированными фасадами, ед.</w:t>
            </w:r>
          </w:p>
        </w:tc>
        <w:tc>
          <w:tcPr>
            <w:tcW w:w="423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2023 году отремонтированы фасады 3 домов (план 5 ед.) </w:t>
            </w:r>
            <w:r w:rsidRPr="00F01B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указать адреса домов</w:t>
            </w:r>
          </w:p>
        </w:tc>
      </w:tr>
      <w:tr w:rsidR="00F01B06" w:rsidRPr="00F01B06" w:rsidTr="00E35313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Модернизация зеленых насаждений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2023-2025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Новая муниципальная программа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ежегодно высаживаемых деревьев, шт,</w:t>
            </w:r>
          </w:p>
        </w:tc>
        <w:tc>
          <w:tcPr>
            <w:tcW w:w="423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 высажено 93 дерева.</w:t>
            </w:r>
          </w:p>
        </w:tc>
      </w:tr>
      <w:tr w:rsidR="00F01B06" w:rsidRPr="00F01B06" w:rsidTr="00E74B4C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Упорядочение парковочных пространств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2023-2027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2704,87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МО «Город Глазов»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новых парковочных мест, шт.</w:t>
            </w:r>
          </w:p>
        </w:tc>
        <w:tc>
          <w:tcPr>
            <w:tcW w:w="423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Организовано 60 парковочных мест по ул.Белова.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Инвентаризация улично-дорожной сети, в т.ч. частном секторе, удаленных микрорайонах города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Зам. Главы по ЖКХ, Начальник управления ЖКХ, Начальник управления ИО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автомобильных дорог общего пользования местного назначения, находящихся в нормативном состоянии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 произведен ремонт 3,971 км. дорог, тротуаров, межквартальных проездов города Глазова. Произведен ямочный ремонт автомобильных дорог местного значения.</w:t>
            </w:r>
            <w:r w:rsidRPr="00F01B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автомобильных дорог общего пользования местного назначения, находящихся в нормативном состоянии составила 78,5% (план 78,4%, факт 2022 г.78,3%)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2.1.2. Повышение ориентации городской среды на потребности подростков и молодежи ("дружелюбный город")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Создание мест притяжения для молодежи (культурные центры, клубы, коворкиги)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Глазов»», муниципальная программы «Реализация молодежной политики»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созданных мест притяжения для молодежи, ед.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Площадь КСЦ «Победа», благоустройство завершено.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Создание современного молодежного центра (ремонт МБУ «Молодежный центр» в 2023 году)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Сектор по физической культуре, спорту и молодежной политике, МБУ «Молодежный центр»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Глазов»», муниципальная программа «Реализация молодежной политики»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созданных мест притяжения для молодежи, ед.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Ремонт МБУ «Молодежный центр» выполнен в 2023г.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Строительство центра культурного развития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Факт строительства Центра культурного развития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Строительство не завершено по причине невыполнения Подрядчиком контрактных обязательств.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Выделены средства на строительство Центра культурного развития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Строительство скейт-парка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города Глазова по вопросам строительства,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Программа «Формирование современной городской среды муниципального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«Город Глазов»», муниципальная программа «Реализация молодежной политики»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 строительства Скейт-парка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Проектно-сметная документации на стадии разработки.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Создание рекреационных зон локального значения для молодых семей (в т.ч. на базе дворовых территорий удаленных микрорайонов)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Глазов»», муниципальная программа «Реализация молодежной политики»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созданных рекреационных зон локального значения для молодых семей, ед.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t>Планируется к выполнению в период 2024-2026 г.г.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2.1.3 Реформирование управления сферой благоустройства</w:t>
            </w:r>
          </w:p>
        </w:tc>
      </w:tr>
      <w:tr w:rsidR="00F01B06" w:rsidRPr="00F01B06" w:rsidTr="008A410D">
        <w:trPr>
          <w:trHeight w:val="2691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Разработка правил благоустройства в соответствии с лучшими практиками городов, формирование долгосрочного плана реализации программы благоустройства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АиГ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«Формирование современной городской среды МО «Город Глазов»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1. Факт модернизации правил благоустройства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2. Факт формирования долгосрочного плана реализации программы благоустройства</w:t>
            </w:r>
          </w:p>
        </w:tc>
        <w:tc>
          <w:tcPr>
            <w:tcW w:w="423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включено в муниципальную программу « Формирование комфортной городской среды» в декабре 2023 года, выполнение планируется в 2024 году.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благоустройства муниципального образования «Город Глазов», утверждены решением Глазовской городской Думы от 25.10.2017 № 292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585CF7">
        <w:trPr>
          <w:trHeight w:val="20"/>
        </w:trPr>
        <w:tc>
          <w:tcPr>
            <w:tcW w:w="558" w:type="dxa"/>
            <w:shd w:val="clear" w:color="auto" w:fill="auto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стандартов в различных сферах благоустройства (освещение, озеленение, стоки, дизайн уличных аншлагов и вывесок и др.)</w:t>
            </w:r>
          </w:p>
        </w:tc>
        <w:tc>
          <w:tcPr>
            <w:tcW w:w="1129" w:type="dxa"/>
            <w:shd w:val="clear" w:color="auto" w:fill="auto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47" w:type="dxa"/>
            <w:gridSpan w:val="2"/>
            <w:shd w:val="clear" w:color="auto" w:fill="auto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shd w:val="clear" w:color="auto" w:fill="auto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shd w:val="clear" w:color="auto" w:fill="auto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архитектуры и градостроительства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«Формирование современной городской среды муниципального образования «Город Глазов»»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сфер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благоустройства, в которых внедрены стандарты благоустройств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Планируется к выполнению в период 2024-2026 г.г.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Формирование комплексного предложения потенциальным спонсорам в части мероприятий благоустройства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архитектуры и градостроительства, начальник управления экономики, развития города, промышленности потребительского рынка и предпринимательства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проектов (лотов), подготовленных и реализованных на средства спонсоров, ед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Планируется к выполнению в период 2024-2026 г.г.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Привлечение частного бизнеса и ТОСов к реализации проектов в сфере благоустройства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ЖКХ,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АиГ, Начальник управления экономики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МО «Город Глазов»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Доля проектов в сфере благоустройства, реализованных с привлечением частного бизнеса, в общем числе реализованных проектов благоустройства,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2. Доля проектов в сфере благоустройства, реализованных с привлечением ОТОС, в общем числе реализованных проектов благоустройства, %</w:t>
            </w:r>
          </w:p>
        </w:tc>
        <w:tc>
          <w:tcPr>
            <w:tcW w:w="423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 включены в декабре 2023 года, выполнение планируется в 2024г.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t>Планируется к выполнению в период 2024-2026 г.г.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2. В 2021 и 2022г.г. создано на территории города 16 ОТОСов. В 2023 г. ОТОСы не привлекались.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включены в декабре 2023 года, выполнение планируется в 2024г.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Развитие механизма контроля в сфере благоустройства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ЖКХ,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АиГ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МО «Город Глазов»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устраненных нарушений из числа выявленных нарушений, %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0 %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включены в декабре 2023 года, выполнение планируется в 2024г.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2.2.1 Модернизация схемы функционирования общественного транспорта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Модернизация сети маршрутов общественного транспорта (разработка новой транспортной схемы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новых (модернизированных) маршрутов общественного транспорта, ед.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8 ед., факт 9 ед.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В августе 2023 года состоялся конкурс на право осуществления пассажирских перевозок в г. Глазове.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01.09.2023 начали функционировать перевозки по новым маршрутам.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Обновление подвижного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состава общественного транспорта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«Муниципальное хозяйство», подпрограмма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«Развитие дорожного хозяйства и транспортного обслуживания населения»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Доля подвижного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состава общественного транспорта, прошедшего модернизацию, %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План 100%, Факт 40,5%. Обновлен парк автобусов ИП Чупина в количестве 13 шт. за счет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приобретения автобусов в лизинг.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Модернизация инфраструктуры общественного транспорта (остановки, пешеходные переходы и пр.)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821,6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26 </w:t>
            </w:r>
          </w:p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821,6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модернизированных остановок общественного транспорта, %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27,8%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Изготовлено и установлено 45 новых остановок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20%,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2022г. 0%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Разработка и внедрение системы навигации выполнена в 2023 г.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Цифровизация сервисов общественного транспорта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2023-2025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4 670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4 670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транспортных средств, с которой осуществляется передача информации в Региональную навигационно-информационную систему, %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100%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Во всех автобусах, осуществляющих пассажирские перевозки, установлены навигационные датчики, позволяющие передавать данные в РНИС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50%,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2022г. 0%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t>Выполнено.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Реформирование системы муниципальных контрактов по организации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пассажирских перевозок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маршрутов, обеспеченных контрактами на организацию пассажирских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перевозок на 5-7 лет с инвестиционным обязательством замены транспортного средства контракта на организацию пассажирских перевозок на 7 лет, %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Факт 100%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г. Были заключены 9 контрактов с перевозчиками: ИП Чупин ,ООО «Лидер Авто», ООО «Форсаж»,ИП Масленников.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50%,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Факт 2022г. 0%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t>Выполнено.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2.2.2 Повышение связности территории города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Строительство объездной автомобильной магистрали (в продолжение ул. Технической)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«Развитие дорожного хозяйства и транспортного обслуживания населения»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Факт строительства объездной автомобильной магистрали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Формирование и развитие зеленого каркаса города: объединение всех рекреационных территорий благоустроенны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 пешеходными (велосипедными, лыжными) связями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2023-2028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«Благоустройство и охрана окружающей среды»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6" w:right="57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Протяженность благоустроенных пешеходных маршрутов, соединяющих элементы зеленого каркаса города, км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6" w:right="57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Протяженность велосипедных маршрутов, соединяющих элементы зеленого каркаса города, км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lastRenderedPageBreak/>
              <w:t>Планируется к выполнению в период 2024-2026 г.г.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Обеспечение безбарьерности городской среды для маломобильных граждан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-2025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«Формирование современной городской среды муниципального образования «Город Глазов»»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благоустроенных переходов через проезжую часть для маломобильных граждан, шт.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58 шт.,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 70шт.,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 г. 50 шт.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t>Выполнено.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2.3.1 «Укрепление материальной базы здравоохранения»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Капитальный ремонт Глазовской межрайонной больницы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531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Главный врач БУЗ УР "Глазовская МБ МЗ УР"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Факт  осуществления капитального ремонта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Перемаршрутизация пациентов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531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Главный врач БУЗ УР "Глазовская МБ МЗ УР"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" w:right="57"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Уровень  смертности (в расчете на 10000 населения)  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" w:right="57" w:firstLine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Смертность населения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трудоспособного возраста, ед. на 100 тыс. чел.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  <w:vMerge w:val="restart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  <w:vMerge w:val="restart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Привлечение  врачей, среднего и младшего персонала в БУЗ УР «Глазовская МБ МЗ УР»</w:t>
            </w:r>
          </w:p>
        </w:tc>
        <w:tc>
          <w:tcPr>
            <w:tcW w:w="1129" w:type="dxa"/>
            <w:vMerge w:val="restart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31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3471,46</w:t>
            </w: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3471,46</w:t>
            </w: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vMerge w:val="restart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Главный врач Глазовской МБ;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УМЖ;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УЖКХ</w:t>
            </w:r>
          </w:p>
        </w:tc>
        <w:tc>
          <w:tcPr>
            <w:tcW w:w="2265" w:type="dxa"/>
            <w:gridSpan w:val="2"/>
            <w:vMerge w:val="restart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Муниципальное хозяйство; Муниципальное управление;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населения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врачей, получивших поддержку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18 врачей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  <w:vMerge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1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4921,39</w:t>
            </w:r>
          </w:p>
        </w:tc>
        <w:tc>
          <w:tcPr>
            <w:tcW w:w="680" w:type="dxa"/>
            <w:gridSpan w:val="5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4921,39</w:t>
            </w:r>
          </w:p>
        </w:tc>
        <w:tc>
          <w:tcPr>
            <w:tcW w:w="542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39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  <w:vMerge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муниципальных квартир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5 квартир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дополнительных мер поддержки медицинским специалистам, участвующим в оказании высокотехнологичной медицинской помощи (урология, протезирование суставов, общая хирургия,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гинекология, нейрохирургия, сердечно-сосудистая хирургия)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31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Главный врач Глазовской МБ;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УМЖ;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Муниципальное хозяйство; Муниципальное управление;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населения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разработки оказания доп. мер поддержки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B06">
              <w:rPr>
                <w:rFonts w:ascii="Times New Roman" w:hAnsi="Times New Roman" w:cs="Times New Roman"/>
              </w:rPr>
              <w:t>В 2023 года 33 врача получали компенсацию платы за найм жилья.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Доп. меры не разрабатывались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 2.3.2. Комплексная профилактика заболеваемости (в т.ч. по социально опасным заболеваниям)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Расширение профилактики социально опасных заболеваний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31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dxa"/>
            <w:gridSpan w:val="5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2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9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Главный врач БУЗ УР "Глазовская МБ МЗ УР"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Доля граждан, ежегодно проходящих ПМО и/или диспансеризацию, %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2.4.1 Формирование сбалансированной жилищной и градостроительной политики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Строительство нового жилого района «Левобережье -2»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«Территориальное развитие (градостроительство и землеустройство)» 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Merge w:val="restart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Ввод жилья, тыс. кв. м в год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Подготовка проектно-сметной документации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Содействие развитию блокированной застройки и ИЖС, с учетом компактности территории 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города 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«Территориальное развитие (градостроительство и землеустройство)» </w:t>
            </w:r>
          </w:p>
        </w:tc>
        <w:tc>
          <w:tcPr>
            <w:tcW w:w="1524" w:type="dxa"/>
            <w:gridSpan w:val="2"/>
            <w:vMerge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Нет в отчете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Строительство современного жилья на территории города Глазова строительными организациями (точечная застройка)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 и градостроительства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«Территориальное развитие (градостроительство и землеустройство)» </w:t>
            </w:r>
          </w:p>
        </w:tc>
        <w:tc>
          <w:tcPr>
            <w:tcW w:w="1524" w:type="dxa"/>
            <w:gridSpan w:val="2"/>
            <w:vMerge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Нет в отчете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Обеспечение инженерной инфраструктурой земельных участков для предоставления их льготным категориям граждан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«Территориальное развитие (градостроительство и землеустройство)» </w:t>
            </w:r>
          </w:p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жилищного фонда, обеспеченного централизованными услугами тепло-, водо-, электроснабжения и водоотведения в общем объеме жилого фонда, % 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 82 %,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85 %,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 года 82 %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2.4.2 Обеспечение жильем молодежи, работников бюджетной сферы и востребованных в городе специальностей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молодежи, работникам бюджетной сферы и востребованных в городе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специальностей в приобретении современного жилья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архитектуры и градостроительства, начальник управления экономики, развития города, промышленности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,потребительского рынка и предпринимательства, начальник управления муниципального жилья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«Муниципальное хозяйство», подпрограмма «Содержание и развитие жилищного хозяйства»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Средняя обеспеченность населения общей площадью жилья, кв. м/чел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2.4.3 Повышение качества и надежности предоставления жилищных и коммунальных услуг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Формирование единого цифрового контура управления предоставлением услуг ЖКХ («Умное ЖКХ», «Умный город»)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Муниципальное бюджетное учреждение «Центр достоверной информации и обеспечения безопасности» муниципального образования «Город Глазов»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«Муниципальное хозяйство», подпрограмма «Содержание и развитие коммунальной инфраструктуры»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Доля населения использующего единую платформу предоставления услуг в сфере жилищно-коммунального хозяйства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Работы выполняются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Реформирование системы управления МКД на основе принципов конкурентности и клиентоориентированности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2023-2025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«Содержание и развитие жилищного хозяйства»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6" w:right="57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 реорганизации МУП «ЖКУ» 2. Факт разработки стратегии развития МУП «ЖКУ» на принципах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конкурентности и клиентоориенти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рованности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Реорганизация планируется в 2024 году.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Стратегия МУП ЖКУ разработана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ТОС в городе Глазове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ТОС, получивших поддержку в грантах, конкурсах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0 ед.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Повышение энергоэффективности МКД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4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«Энергосбережение и повышение энергетической эффективности»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суммарный расход энергетических ресурсов в МКД, кг.у.т./кв. м</w:t>
            </w:r>
          </w:p>
        </w:tc>
        <w:tc>
          <w:tcPr>
            <w:tcW w:w="423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 26,82 кг.у.т./кв. м,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26,22 кг.у.т./кв. м,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2022г. 26,82 кг.у.т./кв. м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Стимулирование снижения избыточного энергопотребления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56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Муниципальное хозяйство», подпрограмма «Энергосбережение и повышение энергетической эффективности»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" w:right="57" w:hanging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объема электроэнергии, расчеты за которую осуществляются с использованием приборов учета в общем объеме потребляемой элекроэнергии, %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" w:right="57" w:hanging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объема тепловой энергии, расчеты за которую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осуществляются с использованием приборов учета в общем объеме потребляемой тепловой энергии, %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" w:right="57" w:hanging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объема холодной воды, расчеты за которую осуществляются с использованием приборов учета в общем объеме потребляемой воды, %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" w:right="57" w:firstLine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объема горячей воды, расчеты за которую осуществляются с использованием приборов учета в общем объеме потребляемой воды, %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 98,98 %,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98,9 %,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2022г. 98,85%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73,89 %,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75 %,</w:t>
            </w:r>
          </w:p>
          <w:p w:rsidR="00A603DB" w:rsidRPr="00F01B06" w:rsidRDefault="00A603DB" w:rsidP="00A603DB">
            <w:pPr>
              <w:pStyle w:val="a3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2022г. 73,09%</w:t>
            </w:r>
          </w:p>
          <w:p w:rsidR="00A603DB" w:rsidRPr="00F01B06" w:rsidRDefault="00A603DB" w:rsidP="00A603DB">
            <w:pPr>
              <w:pStyle w:val="a3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93,4 %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,План 90,5 %,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 2022г. 93,16%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67,45 %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95 %,</w:t>
            </w:r>
          </w:p>
          <w:p w:rsidR="00A603DB" w:rsidRPr="00F01B06" w:rsidRDefault="00A603DB" w:rsidP="00A603DB">
            <w:pPr>
              <w:pStyle w:val="a3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2022г. 60,44%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специалистов в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сфере управления МКД, старших по домам и т.п.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«Муниципальное хозяйство», подпрограмма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«Содержание и развитие жилищного хозяйства»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Число слушателей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(ежегодно), чел.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чел.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2.5.1 Обеспечение безопасности жизнедеятельности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Активация борьбы с рецидивной преступностью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«Профилактика правонарушений»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рецидивной преступности от числа расследованных  преступлений, % 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По итогам 2023 года количество преступлений, совершенных лицами, ранее совершавшими преступления, снизилось с 493 до 362 фактов. Удельный вес от числа расследованных составил 67 % (2022г. – 65,7%)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Активация профилактических мер в борьбе с правонарушениями, совершенными в состоянии алкогольного опьянения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«Профилактика правонарушений»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Удельный вес преступлений, совершенных в состоянии алкогольного опьянения, от числа расследованных преступлений 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По итогам 2023 года количество преступлений, совершенных лицами в состоянии опьянения, сократилось с 236 до 185 фактов. Удельный вес составил 34,3 % (2022г. – 31,5%)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в проведении борьбы с "наливайками" и точками, незаконно реализующими алкоголь и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спиртосодержащую продукцию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мобилизационной работе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«Профилактика правонарушений»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Активное взаимодействие с Межмуниципальным отделом МВД России Глазовский, в том числе в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рейдовой работе 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Проведено 63 проверочных мероприятия (совместно с работниками Администрации города Глазова – 16), составлено 60 протоколов об административных правонарушениях (в 2022г. – 67). Из оборота изъято 39,42л. спиртсодержащей продукции, наложено штрафов на сумму 235000,0р. 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профилактической работы по хищению денежных средств с банковских карт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мобилизационной работе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«Профилактика правонарушений»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разъяснительной работы с населением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года было изготовлено и распространено 6000 листов памяток с информацией, направленной на профилактику, в первую очередь, правонарушений с использованием IT-технологий.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2.5.2. Обеспечение безопасности дорожного движения.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Развитие платформы "Умного города" в части управления безопасностью дорожного движения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2023-2024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Директор МБУ "ЦДО и ОБ", 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"Муниципальное хозяйство", подпрограмма "Развитие дорожного хозяйства и транспортного обслуживания"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количества ДТП, % в АППГ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t>Планируется выполнение в 2024г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2.5.3. Обеспечение экологической безопасности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Поддержка и координация программ предприятий города по сокращению выбросов в атмосферу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Директор МБУ "ЦДО и ОБ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"Муниципальное хозяйство", подпрограмма "Благоустройство и охрана окружающей среды"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Совокупный объем выбросов в атмосферу, тыс. тонн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Факт установки системы мониторинга качества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атмосферного воздуха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lastRenderedPageBreak/>
              <w:t>Планируется к выполнению в период 2024-2026 г.г.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Экологизация общественного транспорта (увеличение доли транспортных средств с низкими показателями выбросов в атмосферу)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«Развитие дорожного хозяйства и транспортного обслуживания населения»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транспортных средств с низкими показателями выбросов в атмосферу, %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27,8%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10%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 г.10%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t>Выполнено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Ликвидация несанкционированных свалок и навалов на территории города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2023-2025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7817,28</w:t>
            </w:r>
          </w:p>
        </w:tc>
        <w:tc>
          <w:tcPr>
            <w:tcW w:w="572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7817,28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«Благоустройство и охрана окружающей среды»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ликвидированных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свалок и навалов на территории города, ед.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15 ед.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ликвидированных несанкционированных свалок от общего числа несанкционированных свалок по факту 2023г. составила 100%.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12 ед.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 г.15ед.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Муниципальные контракты заключены. Работа ведется.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Открытие пункта приема отходов (в  промышленных объемах)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2023-2025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«Муниципальное хозяйство», подпрограмма «Благоустройство и охрана окружающей среды»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t>Планируется к выполнению в период 2024-2026 г.г.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раздельного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сбора, сортировки и переработки ТКО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хозяйство», подпрограмма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«Благоустройство и охрана окружающей среды»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Доля ТКО, собираемых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раздельно, %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lastRenderedPageBreak/>
              <w:t>Планируется к выполнению в период 2024-2026 г.г.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Факт 5%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 7%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2022 г. 5%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Очистка русла р. Чепца:</w:t>
            </w:r>
          </w:p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1) содействие в оформлении участка недр под добычу ПГС;</w:t>
            </w:r>
          </w:p>
          <w:p w:rsidR="00A603DB" w:rsidRPr="00F01B06" w:rsidRDefault="00A603DB" w:rsidP="00A603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2) установление зон подтопления и разработка проекта заглубительных работ и укрепления береговой линии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2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ЖКХ, Начальник управления АиГ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Муниципальное хозяйство», подпрограмма «Благоустройство и охрана окружающей среды»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оказания содействия в очистке русла        р. Чепца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18"/>
                <w:szCs w:val="17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7"/>
              </w:rPr>
              <w:t>Планируется к выполнению в период 2024-2026 г.г.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включены в декабре 2023 года, выполнение планируется в 2024г.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B06">
              <w:rPr>
                <w:rFonts w:ascii="Times New Roman" w:eastAsia="Times New Roman" w:hAnsi="Times New Roman" w:cs="Times New Roman"/>
                <w:b/>
              </w:rPr>
              <w:t>Направление 3. Город возможностей.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1B06">
              <w:rPr>
                <w:rFonts w:ascii="Times New Roman" w:hAnsi="Times New Roman" w:cs="Times New Roman"/>
                <w:b/>
              </w:rPr>
              <w:t>Задача 3.1.1. Развитие системы профессиональной переподготовки педагогов в соответствии с современными потребностями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курсов повышения квалификации и переподготовки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педагогов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2856" w:type="dxa"/>
            <w:gridSpan w:val="14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Не предусмотрено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образования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и воспитания»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Доля педагогов, прошедших курсы повышения квалификации и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переподготовки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2023 год – 30%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1B06">
              <w:rPr>
                <w:rFonts w:ascii="Times New Roman" w:hAnsi="Times New Roman" w:cs="Times New Roman"/>
                <w:b/>
              </w:rPr>
              <w:lastRenderedPageBreak/>
              <w:t>Задача 3.1.2. Модернизация дошкольного, начального общего, основного общего и среднего общего образования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взаимодействия по линии  «школа –вуз-предприятие» Внедрение ранней профориентации обучающихся </w:t>
            </w:r>
          </w:p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«Развитие образования и воспитания» подпрограмма «Развитие общего образования»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" w:right="57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заключенных соглашений о сотрудничестве». ед 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" w:right="57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2. Охват детей программами профориентации. % от числа обучающихся 6-11 классов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9" w:right="57" w:firstLine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2023 году в рамках осуществления ранней профориентации и взаимодействия с промышленными предприятиями «Глазов-Молоко» и АО ЧМЗ открыты 2 профориентационные  студии в детских садах МБОУ «Детский сад» №46» «Глазов-Молочко» и в МБОУ «Детский сад№55» - «Цех№55».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по заключению соглашений о сотрудничестве запланирована на 2024 год. </w:t>
            </w:r>
          </w:p>
          <w:p w:rsidR="00A603DB" w:rsidRPr="00F01B06" w:rsidRDefault="00A603DB" w:rsidP="00A603D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right="57" w:firstLine="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Достижение показателя – 100%. В 2023 году во всех общеобразовательных учреждениях города реализуется профориентационный минимум, внедрен проект «Россия – мои горизонты», «Билет в будущее». Данные мероприятия охватывают обучающихся 6-11 классов(100%)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цифровой платформы-агрегатора, включающего в себя центр профориентирования, центр обучения и повышения квалификации, реализацию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индивидуальные образовательные траектории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2024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2000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2000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образования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и воспитания»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пользователей агрегатора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Осуществляется работа по разработке агрегатора «Глазов. Вид на жизнь»: разработан макет агрегатора, осуществляется сбор информации для наполнения агрегатора содержанием, ведется работа программистов по запуску агрегатора.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достижению показателей мероприятия  будет осуществлена после запуска агрегатора.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3.1.3 Переориентация системы дополнительного образования с учетом потребностей рынка труда Глазова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Внедрение инновационных программ и технологий в сфере дополнительного образования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образования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и воспитания» подпрограмма «Развитие дополнительного образования и воспитания»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Охват детей инновационными программами технического направления дополнительного образования, %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2023 году показатель составляет 20%.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 оформлено соглашение с Министерством образования и науки УР об участии в 2024 году в проекте «Новые места дополнительного образования» НП «Образование», что позволит увеличить  охват детей программами дополнительного образования, в том числе  технической направленности (в МБОУ «Средняя общеобразовательная школа №2» - фото-видео). Начата подготовка к созданию школьного технопарка «Кванториум» в МБОУ «Средняя общеобразовательная школа №11».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Привлечение выпускников к преподавательской деятельности в технических направлениях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образования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и воспитания» подпрограмма «Развитие дополнительного образования и воспитания»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выпускников вузов Глазова технического направления, занимающихся преподавательской деятельностью в городе, чел.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 показатель составляет 3 чел.  - в учреждениях дополнительного образования  (МБОУ «Детско-юношеский центр»).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3.1.4 Предоставление уникальных образовательных возможностей с целью экспорта соответствующих услуг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Развитие уникальных для Глазова образовательных ниш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образования и воспитания» подпрограмма «Развитие общего образования»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реализуемых проектов, количество человек, вовлеченных в уникальные проекты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достижению показателя запланирована на 2024 год.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3.2.1 Укрепление партнерства органов местного самоуправления с НКО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Создание концепции Центра городских сообществ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Без включения в программы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создания концепции Центра городских сообществ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 городских сообществ - проект - победитель конкурса социальных проектов Госкорпорации «Росатом», создан в 2021 году.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направлен на картирование, формирование, структуризацию и системную работу с городскими сообществами и некоммерческими организациями г. Глазова и вовлечение их в активное участие в проектах городского развития.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Развитие ресурсных центров НКО, образовательная, методическая и консультационная поддержка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2856" w:type="dxa"/>
            <w:gridSpan w:val="14"/>
          </w:tcPr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АНО «Центр развития бизнеса и городской среды» субсидии из бюджета МО в размере 14 670 000,00 руб</w:t>
            </w:r>
          </w:p>
          <w:p w:rsidR="00A603DB" w:rsidRPr="00F01B06" w:rsidRDefault="00A603DB" w:rsidP="00A603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результате грантовой деятельности и участия в федеральных программах за 2023 год привлечено 220 231 956,37 руб 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Руководитель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развития», подпрограмма «Поддержка СО НКО, осуществляющих деятельность на территории муниципального образования «Городской округ «Город Глазов» Удмуртской Республики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НКО – пользователей услуг ресурсных центров НКО, ед.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на конец 2023 года – 3 ед. из 3 ед. плановых, план выполнен на 100%.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Проводились городские конкурсы проектов социально-ориентированных некоммерческих организаций </w:t>
            </w:r>
            <w:r w:rsidRPr="00F01B06">
              <w:rPr>
                <w:rFonts w:ascii="Times New Roman" w:hAnsi="Times New Roman"/>
                <w:sz w:val="18"/>
                <w:szCs w:val="18"/>
              </w:rPr>
              <w:t xml:space="preserve">для оказания поддержки (в том числе финансовой) на реализацию проектов СО НКО. Среди них: «ART-Галерея», Лаборатория физического театра МОN (Я есть), Город 345, Киноклуб под открытым небом, ремонт спортивного зала как часть «Дорожной карты по развитию спорта направления КСЦ «Победа» 2023-2026, восстановление зоны аттракционов как часть </w:t>
            </w:r>
            <w:r w:rsidRPr="00F01B06">
              <w:rPr>
                <w:rFonts w:ascii="Times New Roman" w:hAnsi="Times New Roman"/>
                <w:sz w:val="18"/>
                <w:szCs w:val="18"/>
              </w:rPr>
              <w:lastRenderedPageBreak/>
              <w:t>проекта «Реновация парка им.Горького 2022-2025» и др.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 xml:space="preserve">Сотрудники МБУК «ЦБС г.Глазова» и СО НКО разрабатывали и реализовывали совместные проекты социальной направленности: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разработан проект «Пишем живую книгу «Малый город - Большая история!» (совместно с АНО «Центр культуры, образования и спорта «Короленко 8»);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К реализации проекта МБУК «ЦБС г.Глазова» «Слёт молодых краеведов Удмуртии» были привлечены Городская общественная организация «Краеведческий клуб» города Глазова и АНО «Расти».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Управление образования: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Консультационная поддержка АНО «Радость» при подготовке ко 2 конкурсу 2023 года Фонда президентских грантов;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Консультация по открытию НКО для МБОУ ДО «Детско-юношеский центр», МБОУ «Гимназия №14», МБОУ «СОШ№13».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Обучение волонтеров образовательных организаций при организации и проведении городских мероприятий.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МБУ «ЦМиТО УКСиМП» - 6 консультаций.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МБУК «ЦБС г. Глазова» - 17 консультаций представителям 3 НКО по написанию проектов на ФПГ и ПФКИ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 НКО к оказанию социальных услуг (замещение бюджетного финансирования)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7957,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7957,6</w:t>
            </w: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аппарата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Программа «Создание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условий для устойчивого экономического развития», подпрограмма «Поддержка СО НКО, осуществляющих деятельность на территории муниципального образования «Городской округ «Город Глазов» Удмуртской Республики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Доля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социальных услуг, оказываемых с привлечением СО НКО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Факт на конец 2023 года – 1 ед. из 3 плановых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(Получатель бюджетных средств АНО ДО «Лингвистический центр»), отклонение от плана связано со слабой вовлеченностью СО НКО в реализацию социальных услуг в связи с значительным влиянием финансовой составляющей вопроса.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Задача 3.2.2 Модернизация каналов взаимодействия с гражданами в сфере принятия управленческих решений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Реформирование механизма публичных слушаний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Глава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Программа «Муниципальное управление» (подпрограмма «Организация муниципального управления»)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Доля жителей Глазова, принявших участие в публичных слушаниях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pStyle w:val="a4"/>
              <w:ind w:firstLine="10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В 2023 году по вопросам местного значения были проведены публичные слушания (4) и общественные обсуждения (8) с использованием Портала обратной связи, в которых приняло участие 111 чел., что составляет 0,2% от общего количества граждан свыше 18 лет, имеющих право принимать участие в публичных слушаниях и голосованиях.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Создание виртуальных платформ для взаимодействия с гражданами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Начальник управления общественных связей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Программа «Муниципальное управление» (подпрограмма «Организация муниципального управления»)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Число решений, принятых с участием жителей города</w:t>
            </w: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Число посещений он-лайн платформ, страниц в соцсетях в сутки, ед.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pStyle w:val="a4"/>
              <w:ind w:firstLine="1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lastRenderedPageBreak/>
              <w:t>В апреле 2021 года успешно внедрена федеральная система - Платформа обратной связи (ПОС), которая служит единым окном для подачи электронных сообщений, а с 1 сентября 2023 стала единым окном для подачи обращений граждан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 С 2023 года ответы на обращения подписываются ЭЦП.</w:t>
            </w:r>
          </w:p>
          <w:p w:rsidR="00A603DB" w:rsidRPr="00F01B06" w:rsidRDefault="00A603DB" w:rsidP="00A603DB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цель платформы - быстрое решение актуальных проблем граждан. Она позволяет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получать объективную информацию об актуальных проблемах, волнующих граждан, и принимать необходимые меры для их решения. </w:t>
            </w:r>
          </w:p>
          <w:p w:rsidR="00A603DB" w:rsidRPr="00F01B06" w:rsidRDefault="00A603DB" w:rsidP="00A603DB">
            <w:pPr>
              <w:pStyle w:val="a4"/>
              <w:ind w:firstLine="179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 xml:space="preserve">За небольшой промежуток времени (в 2021 году – 133 обращения, в 2022 году – 219 обращений, в 2023 году - 359 обращений) система ПОС показала, что стала востребованным инструментом горожан для решения их вопросов. </w:t>
            </w:r>
          </w:p>
          <w:p w:rsidR="00A603DB" w:rsidRPr="00F01B06" w:rsidRDefault="00A603DB" w:rsidP="00A603DB">
            <w:pPr>
              <w:pStyle w:val="a4"/>
              <w:ind w:firstLine="179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Число решений, принятых с участием жителей - 4.</w:t>
            </w:r>
          </w:p>
          <w:p w:rsidR="00A603DB" w:rsidRPr="00F01B06" w:rsidRDefault="00A603DB" w:rsidP="00A603DB">
            <w:pPr>
              <w:pStyle w:val="a4"/>
              <w:ind w:firstLine="179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ind w:firstLine="179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ind w:firstLine="179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Число посещений он-лайн платформ, страниц в соцсетях в сутки за 2023 год составило 9800 (при плановом показателе 7000).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Контроль качества работы с обращениями граждан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Начальник управления общественных связей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Программа «Муниципальное управление» (подпрограмма «Организация муниципального управления»)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Число повторных обращений, %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pStyle w:val="a4"/>
              <w:ind w:firstLine="1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ПОС обеспечивает единый стандарт подачи обращений граждан, контроль прохождения за обращением от модератора до ответа заявителю.</w:t>
            </w:r>
          </w:p>
          <w:p w:rsidR="00A603DB" w:rsidRPr="00F01B06" w:rsidRDefault="00A603DB" w:rsidP="00A603DB">
            <w:pPr>
              <w:pStyle w:val="a4"/>
              <w:ind w:firstLine="179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Количество повторных обращений за 2023 год составило 7,7% от общего числа обращений (при плановом показателе 26,1%), что соответствует перевыполнению показателя (количество повторных обращений сокращается).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Pr="00F01B06">
              <w:rPr>
                <w:rFonts w:ascii="Times New Roman" w:hAnsi="Times New Roman"/>
                <w:sz w:val="18"/>
                <w:szCs w:val="18"/>
              </w:rPr>
              <w:lastRenderedPageBreak/>
              <w:t>ежегодных опросов удовлетворенности разными сферами городской жизни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 xml:space="preserve">Начальник управления </w:t>
            </w:r>
            <w:r w:rsidRPr="00F01B0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общественных связей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Программа </w:t>
            </w:r>
            <w:r w:rsidRPr="00F01B06">
              <w:rPr>
                <w:rFonts w:ascii="Times New Roman" w:hAnsi="Times New Roman"/>
                <w:sz w:val="18"/>
                <w:szCs w:val="18"/>
              </w:rPr>
              <w:lastRenderedPageBreak/>
              <w:t>«Муниципальное управление» (подпрограмма «Развитие информационного общества в городе Глазове»)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Доля жителей, </w:t>
            </w: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принявших участие в опросе</w:t>
            </w: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Доля жителей возрастом до 35 лет, от числа участников опроса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2023 году было проведено 4 публичных </w:t>
            </w: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слушания и 8 общественных обсуждений по вопросам местного значения, в которых приняли участие 111 человек.</w:t>
            </w:r>
          </w:p>
          <w:p w:rsidR="00A603DB" w:rsidRPr="00F01B06" w:rsidRDefault="00A603DB" w:rsidP="00A603D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 было проведены 4 опроса и анкетирования, а именно:</w:t>
            </w:r>
          </w:p>
          <w:p w:rsidR="00A603DB" w:rsidRPr="00F01B06" w:rsidRDefault="00A603DB" w:rsidP="00A603D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Всероссийское голосование по выбору объектов благоустройства (приняло участие в голосовании 8886 человек);</w:t>
            </w:r>
          </w:p>
          <w:p w:rsidR="00A603DB" w:rsidRPr="00F01B06" w:rsidRDefault="00A603DB" w:rsidP="00A603D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- голосование по определению тротуаров для благоустройства в Глазове в 2024 году (приняло участие в голосовании 774   человек);</w:t>
            </w:r>
          </w:p>
          <w:p w:rsidR="00A603DB" w:rsidRPr="00F01B06" w:rsidRDefault="00A603DB" w:rsidP="00A603D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- оценка эффективности работы муниципальных органов власти  (приняло участие в голосовании 90  человек);</w:t>
            </w:r>
          </w:p>
          <w:p w:rsidR="00A603DB" w:rsidRPr="00F01B06" w:rsidRDefault="00A603DB" w:rsidP="00A603D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- оценка качества информирования населения власти (приняло участие в голосовании 14  человек).</w:t>
            </w:r>
          </w:p>
          <w:p w:rsidR="00A603DB" w:rsidRPr="00F01B06" w:rsidRDefault="00A603DB" w:rsidP="00A603DB">
            <w:pPr>
              <w:pStyle w:val="a4"/>
              <w:ind w:firstLine="246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жителей, принявших участие в опросе по удовлетворенности разными сферами городской жизни 104 человека, что составляет 0,2% от </w:t>
            </w:r>
            <w:r w:rsidRPr="00F01B06">
              <w:rPr>
                <w:rFonts w:ascii="Times New Roman" w:hAnsi="Times New Roman"/>
                <w:sz w:val="18"/>
                <w:szCs w:val="18"/>
              </w:rPr>
              <w:t xml:space="preserve"> общего количества граждан.</w:t>
            </w: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ind w:firstLine="10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Количество жителей возрастом до 35 лет, от числа участников опроса 21 чел., что составляет 20%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3.2.3 Поддержка волонтерского движения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ресурсного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 добровольчества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2023-2024 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 по физической культуре,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спорту и молодежной политике,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 «Реализация молодежной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политики», подпрограмма «Развитие добровольчества»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пользователей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 ресурсного центра добровольчества, тыс. чел.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Разработка программ поддержки и стимулирования добровольчества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сектора  по физической культуре, спорту и молодежной политике,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«Реализация молодежной политики», подпрограмма «Развитие добровольчества»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вовлеченных в волонтерскую деятельность, тысячи человек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Развитие всех направлений добровольчества (волонтерство в ЧС, предпринимательское волонтерство)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сектора  по физической культуре, спорту и молодежной политике,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«Реализация молодежной политики», подпрограмма «Развитие добровольчества»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реализуемых направлений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отрядов/групп/объединений на каждом предприятии, учреждении, организации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физической культуре, спорту и молодежной политике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«Реализация молодежной политики», подпрограмма «Развитие добровольчества»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добровольческих отрядов/групп/объединений на предприятиях, учреждениях и в организациях, ед.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отрядов/групп/объединений на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каждом предприятии, учреждении, организации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2023 - 2030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 по физической культуре, спорту и молодежной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политике,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«Реализация молодежной политики», подпрограмма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«Развитие добровольчества»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добровольцев в разных возрастных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группах, чел.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7-13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14-17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14-30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18-35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31-54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36-54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55 и старше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3.2.4 Содействие формированию глазовских «землячеств»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Вовлечение бывших глазовчан в жизнь города, в т.ч. в реализацию проекта «Школьное братство»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«Создание условий для устойчивого экономического развития» подпрограмма «Поддержка СО НКО, осуществляющих деятельность на территории МО «Город Глазов»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вступивших в группу «Школьное братство» (количество подписчиков группы), чел., в том числе принявших участие в развитии города.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2022- 2023 году в проекте «Школьное братство» приняли участие 6 образовательных организаций: МБОУ СОШ№2, МБОУ СОШ№13 (победитель проекта), МБОУ СОШ№15 им. В.Н. Рождественского, МБОУ СОШ№3, МБОУ Гимназия №8, МБОУ Гимназия №14. Создана группа в соцсети ВКонтакте  «Мы из Глазова» . число подписчиков группы - 165 человек; сообщество «Школьное братство МБОУ СШ№3» , количество подписчиков – 167.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на конец 2023 года – 85 ед. из 80 плановых, план выполнен на 106,3%, чему поспособствовала активизация образовательных учреждений города и гражданского общества.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3.2.5 Развитие эффективной управленческой команды в ОМСУ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  <w:tcBorders>
              <w:bottom w:val="single" w:sz="4" w:space="0" w:color="auto"/>
            </w:tcBorders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Внедрение в работу ОМСУ принципа человекоцентри</w:t>
            </w:r>
            <w:r w:rsidRPr="00F01B0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чности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Глава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 xml:space="preserve">Программа «Муниципальное управление»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Снижение текучести кадров в ОМСУ к 2021 году, %</w:t>
            </w: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Рост заработной платы в ОМСУ к 2021 году, раз</w:t>
            </w: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Удовлетворенность персонала ОМСУ, %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pStyle w:val="a4"/>
              <w:ind w:firstLine="17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01B0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Выстраивание системы взаимоотношений с работниками, при которой интерес к мнению, потребностям и нуждам конкретного работника становится инструментом достижения целей </w:t>
            </w:r>
            <w:r w:rsidRPr="00F01B0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развития муниципальной службы. Результат командной работы - осознанность выбора человеком работы на муниципальной службе, высокая мотивация ее развития. </w:t>
            </w:r>
          </w:p>
          <w:p w:rsidR="00A603DB" w:rsidRPr="00F01B06" w:rsidRDefault="00A603DB" w:rsidP="00A603DB">
            <w:pPr>
              <w:pStyle w:val="a4"/>
              <w:ind w:firstLine="17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01B06">
              <w:rPr>
                <w:rFonts w:ascii="Times New Roman" w:hAnsi="Times New Roman"/>
                <w:sz w:val="18"/>
                <w:szCs w:val="18"/>
                <w:lang w:eastAsia="ru-RU"/>
              </w:rPr>
              <w:t>Текучесть кадров в 2023 году составляет 23,5%.</w:t>
            </w:r>
          </w:p>
          <w:p w:rsidR="00A603DB" w:rsidRPr="00F01B06" w:rsidRDefault="00A603DB" w:rsidP="00A603DB">
            <w:pPr>
              <w:pStyle w:val="a4"/>
              <w:ind w:firstLine="179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03DB" w:rsidRPr="00F01B06" w:rsidRDefault="00A603DB" w:rsidP="00A603DB">
            <w:pPr>
              <w:pStyle w:val="a4"/>
              <w:ind w:firstLine="179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03DB" w:rsidRPr="00F01B06" w:rsidRDefault="00A603DB" w:rsidP="00A603DB">
            <w:pPr>
              <w:pStyle w:val="a4"/>
              <w:ind w:firstLine="17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01B06">
              <w:rPr>
                <w:rFonts w:ascii="Times New Roman" w:hAnsi="Times New Roman"/>
                <w:sz w:val="18"/>
                <w:szCs w:val="18"/>
                <w:lang w:eastAsia="ru-RU"/>
              </w:rPr>
              <w:t>Рост заработной платы по сравнению с 2021 годом составляет 1,04 раза.</w:t>
            </w:r>
          </w:p>
          <w:p w:rsidR="00A603DB" w:rsidRPr="00F01B06" w:rsidRDefault="00A603DB" w:rsidP="00A603DB">
            <w:pPr>
              <w:pStyle w:val="a4"/>
              <w:ind w:firstLine="179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03DB" w:rsidRPr="00F01B06" w:rsidRDefault="00A603DB" w:rsidP="00A603DB">
            <w:pPr>
              <w:pStyle w:val="a4"/>
              <w:ind w:firstLine="179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03DB" w:rsidRPr="00F01B06" w:rsidRDefault="00A603DB" w:rsidP="00A603DB">
            <w:pPr>
              <w:pStyle w:val="a4"/>
              <w:ind w:firstLine="179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03DB" w:rsidRPr="00F01B06" w:rsidRDefault="00A603DB" w:rsidP="00A603DB">
            <w:pPr>
              <w:pStyle w:val="a4"/>
              <w:ind w:firstLine="179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Показатель не измерялся</w:t>
            </w: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Разработка новой эффективной системы мотивации управленческой команды и внедрение новых инструментов командообразования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pStyle w:val="a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>Глава Аппарата Администрации города Глазова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01B06">
              <w:rPr>
                <w:rFonts w:ascii="Times New Roman" w:hAnsi="Times New Roman"/>
                <w:sz w:val="18"/>
                <w:szCs w:val="18"/>
              </w:rPr>
              <w:t xml:space="preserve">Программа «Муниципальное управление»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>Количество работников, получивших материальную помощь, % от общего числа работников ОМСУ</w:t>
            </w: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 xml:space="preserve">Доля вовлеченных в </w:t>
            </w: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проектное управление работников, от общего числа работников ОМСУ, %</w:t>
            </w:r>
          </w:p>
        </w:tc>
        <w:tc>
          <w:tcPr>
            <w:tcW w:w="4211" w:type="dxa"/>
            <w:vAlign w:val="center"/>
          </w:tcPr>
          <w:p w:rsidR="00A603DB" w:rsidRPr="00F01B06" w:rsidRDefault="00A603DB" w:rsidP="00A603DB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работников, получивших материальную помощь в 2023 году, составляет 0 человек.</w:t>
            </w:r>
          </w:p>
          <w:p w:rsidR="00A603DB" w:rsidRPr="00F01B06" w:rsidRDefault="00A603DB" w:rsidP="00A603DB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03DB" w:rsidRPr="00F01B06" w:rsidRDefault="00A603DB" w:rsidP="00A603DB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целях формирования и укрепления корпоративной культуры в Администрации города Глазова в постоянном режиме осуществляется анализ соблюдения этики служебного поведения муниципальными служащими. </w:t>
            </w:r>
          </w:p>
          <w:p w:rsidR="00A603DB" w:rsidRPr="00F01B06" w:rsidRDefault="00A603DB" w:rsidP="00A603DB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непринужденного общения создано корпоративное сообщество в социальных сетях и мессенджерах, где муниципальные служащие обмениваются информацией, поздравляют друг друга с важными датами. В практику прочно вошло поздравление коллег с юбилеями, проводы на пенсию, поддержка в сложной жизненной ситуации.  </w:t>
            </w:r>
          </w:p>
          <w:p w:rsidR="00A603DB" w:rsidRPr="00F01B06" w:rsidRDefault="00A603DB" w:rsidP="00A603DB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рамках корпоративной культуры в Администрации города Глазова является традицией участие всем коллективом в различных мероприятиях, таких как «Кросс наций», «Лыжня России». Среди сотрудников Администрации сформирована спортивная команда, участвующая во всех спартакиадах, проводимых в городе. Ежегодно женский коллектив Администрации поздравляет мужской коллектив с 23 февраля, стараясь, каждый год чем-то удивить своих коллег. Аналогично мужчины также творчески поздравляют с 8 марта женскую часть коллектива. </w:t>
            </w:r>
          </w:p>
          <w:p w:rsidR="00A603DB" w:rsidRPr="00F01B06" w:rsidRDefault="00A603DB" w:rsidP="00A603DB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В преддверии дня работника местного самоуправления в апреле 2023 года для муниципальных служащих и ветеранов муниципальной службы состоялся Квиз «Сыграем, друзья!». В июне для управленческой команды был проведен тимбилдинг «Иднакар, край легенд и преданий». Активно коллектив Администрации принимает участие в спортивных мероприятиях,  так в сентябре была проведена спартакиада среди муниципальных служащих, с вручением переходящего кубка, в декабре прошел туристический тимбилдинг на базе туристического комплекса «Тылыс».</w:t>
            </w:r>
          </w:p>
          <w:p w:rsidR="00A603DB" w:rsidRPr="00F01B06" w:rsidRDefault="00A603DB" w:rsidP="00A603DB">
            <w:pPr>
              <w:pStyle w:val="a4"/>
              <w:ind w:firstLine="24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остается без участия муниципальных служащих ни одно мероприятие по благоустройству территории города: уборка парков, скверов, расчистка снега.</w:t>
            </w:r>
          </w:p>
          <w:p w:rsidR="00A603DB" w:rsidRPr="00F01B06" w:rsidRDefault="00A603DB" w:rsidP="00A603DB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603DB" w:rsidRPr="00F01B06" w:rsidRDefault="00A603DB" w:rsidP="00A603DB">
            <w:pPr>
              <w:pStyle w:val="a4"/>
              <w:ind w:firstLine="10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работников ОМСУ,  вовлеченных в проектное управление по состоянию на 31.12.2023 года - 29 человек, что составляет 29% от общего </w:t>
            </w:r>
            <w:r w:rsidRPr="00F01B0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числа работников ОМСУ.</w:t>
            </w: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3.3.1 Активизация культурной жизни города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Развитие просветительской, выставочной и фондовой деятельности на базе ведущих музеев, применение современных технологий музейного дела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-2030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директор 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МБУК «Глазовский краеведческий музей»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выставок и иных мероприятий в рамках деятельности музеев города, тыс. чел.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Формирование сети модельных библиотек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tabs>
                <w:tab w:val="left" w:pos="389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A603DB" w:rsidRPr="00F01B06" w:rsidRDefault="00A603DB" w:rsidP="00A603DB">
            <w:pPr>
              <w:tabs>
                <w:tab w:val="left" w:pos="389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культуры, спорта и молодежной политики,  директор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МБУК «ЦБС г. Глазова»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«Библиотечное обслуживание населения»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посещений, тыс. ед.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Ориентация сервисов и услуг учреждений культуры на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молодежь 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tabs>
                <w:tab w:val="left" w:pos="389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 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«Развитие культуры», подпрограмма «Организация досуга и предоставление услуг муниципальными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учреждениями культуры»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молодежной аудитории в общем числе пользователей услуг Центра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культурного развития, %.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Участие в грантовых конкурсах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 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Учреждения, подведомственные управлению культуры, спорта и молодежной политики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Без включения в программы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привлеченных грантов (ежегодно), ед.: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- ФПГ;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-ПФКИ;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- Другие фонды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Привлечение предприятий к реализации культурных мероприятий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руководители учреждений, подведомственных управлению культуры, спорта и молодежной политики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предприятий, ежегодно привлекаемых   к реализации культурных мероприятий, ед.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3.3.2 Формирование «событийной повестки» для молодежи и иных групп населения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проекта «Глазов фестивальный»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tabs>
                <w:tab w:val="left" w:pos="389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руководители учреждений, подведомственных управлению культуры, спорта и молодежной политики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участников мероприятий в рамках проекта «Глазов фестивальный», тыс. чел.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Процент удовлетвореннос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 мероприятиями, %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Повышение зрелищности культурных мероприятий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tabs>
                <w:tab w:val="left" w:pos="389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руководители учреждений, подведомственных управлению культуры, спорта и молодежной политики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посетителей культурных мероприятий, тыс. чел.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Процент удовлетворенности мероприятиями, %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Привлечение деятелей культуры федерального и международного уровня к участию в культурных мероприятиях и проведению мастер-классов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tabs>
                <w:tab w:val="left" w:pos="389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руководители учреждений, подведомственных управлению культуры, спорта и молодежной политики 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культурных мероприятий и мастер-классов, проведенных с участием деятелей культуры федерального и международного уровня (ежегодно), ед.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в том числе для молодежи, ед.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3.3.3 Развитие профессионального спорта и популяризация массового спорта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Увеличение направлений спортивной подготовки, включение всех этапов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образования, директор МБОУ «ДЮСШ №1» (по согласованию), МБОУ «ДЮСШ № 2» (по согласованию), МАУ СКК «Прогресс»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«Создание условий для развития физической культуры и спорта»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обучающихся, чел.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детей программами спортивной подготовки в МБОУ ДЮСШ№1 и МБОУ ДЮСШ№2 составляет 710 чел. Показатель перевыполнен.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центра экстремальных и уличных видов спорта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25000</w:t>
            </w: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25000</w:t>
            </w: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образования, директор МБОУ ДЮСШ№1, ДЮСШ№2. МАУ СКК Прогресс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«Создание условий для развития физической культуры и спорта»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обучающихся в центре экстремальных и уличных видов спорта, чел.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Реализуются программы уличных видов спорта в МБОУ ДЮСШ№1, МБОУ ДЮСШ№2 – уличный баскетбол, легкая атлетика, биатлон, лыжные гонки. Число обучающихся – 230 чел.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3.3.4 Ревитализация архитектурного и историко-культурного наследия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Комплексная реставрация объектов культурного наследия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новая подпрограмма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отреставрированных объектов культурного наследия, ед. (нарастающим итогом)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3.3.5 Усиление культурной составляющей внутреннего и внешнего туризма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Развитие новых технологий экскурсионного обслуживания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tabs>
                <w:tab w:val="left" w:pos="389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молодежной политики, директор  МБУК «Глазовский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краеведческий музей»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Программа «Создание условий для устойчивого экономического развития», подпрограмма «Создание условий для развития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туризма в муниципальном образовании «Город Глазов»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инновационного экскурсионного продукта, ед. </w:t>
            </w: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Число посетителей музея – туристов (в год), тыс. чел.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Создание  музейного пространства под открытым небом «Я-историЯ: Средневековая Финноугория!»</w:t>
            </w:r>
          </w:p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(на базе МВК «Идна», Буденного,17)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Директор БУК ИКМЗ УР  «Иднакар» им.М.Г. Ивановой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Ежегодное число посетителей. тыс.чел.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Развитие музейно-туристического комплекса на базе историко-культурного музея-заповедника «Иднакар» (МВК «Идна», Буденного,17)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2022-2030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Директор БУК ИКМЗ УР  «Иднакар» им.М.Г. Ивановой (по согласованию)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культуры», подпрограмма «Организация досуга и предоставление услуг муниципальными учреждениями культуры»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Число посетителей культурных мероприятий, тыс. чел. /Число выставочных проектов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3.4.1 Укрепление статуса Глазова как «северной столицы Удмуртии»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«маркеров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столичности» в культурной сфере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культуры, спорта и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молодежной политики, начальник управления экономики, развития города, промышленности, потребительского рынка и предпринимательства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Программа «Развитие культуры», подпрограмма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«Организация досуга и предоставление услуг муниципальными учреждениями культуры»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мероприятий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и/или регионального уровня, локализованных в муниципальном образовании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15876" w:type="dxa"/>
            <w:gridSpan w:val="24"/>
          </w:tcPr>
          <w:p w:rsidR="00A603DB" w:rsidRPr="00F01B06" w:rsidRDefault="00A603DB" w:rsidP="00A603D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B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3.4.2 Развитие кооперации с муниципальными образованиями севера Удмуртии</w:t>
            </w: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Удмуртской Республикой в части размещения в городе учреждений республиканского значения 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2023-2030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Аппарата Администрации города Глазова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Без включения в программы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Количество вновь размещенных в городе учреждений республиканского значения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Содействие муниципальным образованиям севера Удмуртии в реализации проектов комплексного развития среды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Без включения в программы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Совместная реализация проектов по развитию среды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политики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инфраструктуры с муниципальными образованиями севера Удмуртии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города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Глазова по вопросам строительства, архитектуры и жилищно-коммунального хозяйства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 включения в программы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совместно 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реализованных проектов 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1B06" w:rsidRPr="00F01B06" w:rsidTr="008A410D">
        <w:trPr>
          <w:trHeight w:val="20"/>
        </w:trPr>
        <w:tc>
          <w:tcPr>
            <w:tcW w:w="558" w:type="dxa"/>
          </w:tcPr>
          <w:p w:rsidR="00A603DB" w:rsidRPr="00F01B06" w:rsidRDefault="00A603DB" w:rsidP="00A603D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06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Координация документов стратегического и территориального планирования с муниципальными образованиями севера Удмуртии</w:t>
            </w:r>
          </w:p>
        </w:tc>
        <w:tc>
          <w:tcPr>
            <w:tcW w:w="1129" w:type="dxa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</w:t>
            </w: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1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-2030</w:t>
            </w:r>
          </w:p>
        </w:tc>
        <w:tc>
          <w:tcPr>
            <w:tcW w:w="571" w:type="dxa"/>
            <w:gridSpan w:val="4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3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A603DB" w:rsidRPr="00F01B06" w:rsidRDefault="00A603DB" w:rsidP="00A603D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экономики, развития города, промышленности, потребительского рынка и предпринимательства </w:t>
            </w:r>
          </w:p>
        </w:tc>
        <w:tc>
          <w:tcPr>
            <w:tcW w:w="2265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 xml:space="preserve">Без включения в программы </w:t>
            </w:r>
          </w:p>
        </w:tc>
        <w:tc>
          <w:tcPr>
            <w:tcW w:w="1524" w:type="dxa"/>
            <w:gridSpan w:val="2"/>
          </w:tcPr>
          <w:p w:rsidR="00A603DB" w:rsidRPr="00F01B06" w:rsidRDefault="00A603DB" w:rsidP="00A603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B06">
              <w:rPr>
                <w:rFonts w:ascii="Times New Roman" w:hAnsi="Times New Roman" w:cs="Times New Roman"/>
                <w:sz w:val="18"/>
                <w:szCs w:val="18"/>
              </w:rPr>
              <w:t>Факт включения межмуниципальных мероприятий и проектов в документы стратегического и территориального планирования муниципальных образований севера Удмуртии</w:t>
            </w:r>
          </w:p>
        </w:tc>
        <w:tc>
          <w:tcPr>
            <w:tcW w:w="4211" w:type="dxa"/>
          </w:tcPr>
          <w:p w:rsidR="00A603DB" w:rsidRPr="00F01B06" w:rsidRDefault="00A603DB" w:rsidP="00A603D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7C445D" w:rsidRPr="00F01B06" w:rsidRDefault="007C445D">
      <w:pPr>
        <w:rPr>
          <w:rFonts w:ascii="Times New Roman" w:hAnsi="Times New Roman" w:cs="Times New Roman"/>
          <w:sz w:val="24"/>
          <w:szCs w:val="24"/>
        </w:rPr>
      </w:pPr>
    </w:p>
    <w:sectPr w:rsidR="007C445D" w:rsidRPr="00F01B06" w:rsidSect="005237B4">
      <w:footerReference w:type="default" r:id="rId12"/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EF" w:rsidRDefault="00CE6DEF" w:rsidP="00C412D2">
      <w:pPr>
        <w:spacing w:after="0" w:line="240" w:lineRule="auto"/>
      </w:pPr>
      <w:r>
        <w:separator/>
      </w:r>
    </w:p>
  </w:endnote>
  <w:endnote w:type="continuationSeparator" w:id="0">
    <w:p w:rsidR="00CE6DEF" w:rsidRDefault="00CE6DEF" w:rsidP="00C4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01820"/>
      <w:docPartObj>
        <w:docPartGallery w:val="Page Numbers (Bottom of Page)"/>
        <w:docPartUnique/>
      </w:docPartObj>
    </w:sdtPr>
    <w:sdtEndPr/>
    <w:sdtContent>
      <w:p w:rsidR="00CE6DEF" w:rsidRDefault="00CE6DEF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B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6DEF" w:rsidRDefault="00CE6DE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EF" w:rsidRDefault="00CE6DEF" w:rsidP="00C412D2">
      <w:pPr>
        <w:spacing w:after="0" w:line="240" w:lineRule="auto"/>
      </w:pPr>
      <w:r>
        <w:separator/>
      </w:r>
    </w:p>
  </w:footnote>
  <w:footnote w:type="continuationSeparator" w:id="0">
    <w:p w:rsidR="00CE6DEF" w:rsidRDefault="00CE6DEF" w:rsidP="00C41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069F"/>
    <w:multiLevelType w:val="hybridMultilevel"/>
    <w:tmpl w:val="E6D6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2D9B"/>
    <w:multiLevelType w:val="hybridMultilevel"/>
    <w:tmpl w:val="C07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7D91"/>
    <w:multiLevelType w:val="hybridMultilevel"/>
    <w:tmpl w:val="2390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230B8"/>
    <w:multiLevelType w:val="hybridMultilevel"/>
    <w:tmpl w:val="2390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E3614"/>
    <w:multiLevelType w:val="hybridMultilevel"/>
    <w:tmpl w:val="4BDC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C6FE2"/>
    <w:multiLevelType w:val="hybridMultilevel"/>
    <w:tmpl w:val="712C110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E1C691F"/>
    <w:multiLevelType w:val="hybridMultilevel"/>
    <w:tmpl w:val="0DC80E30"/>
    <w:lvl w:ilvl="0" w:tplc="98E4F0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F851C41"/>
    <w:multiLevelType w:val="hybridMultilevel"/>
    <w:tmpl w:val="8C34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915FE"/>
    <w:multiLevelType w:val="hybridMultilevel"/>
    <w:tmpl w:val="597E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422AF"/>
    <w:multiLevelType w:val="hybridMultilevel"/>
    <w:tmpl w:val="20FA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60E3"/>
    <w:multiLevelType w:val="hybridMultilevel"/>
    <w:tmpl w:val="DDC2E212"/>
    <w:lvl w:ilvl="0" w:tplc="1652CDF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81048"/>
    <w:multiLevelType w:val="hybridMultilevel"/>
    <w:tmpl w:val="2390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718EA"/>
    <w:multiLevelType w:val="hybridMultilevel"/>
    <w:tmpl w:val="DF1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D323D"/>
    <w:multiLevelType w:val="hybridMultilevel"/>
    <w:tmpl w:val="BBD8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80AA0"/>
    <w:multiLevelType w:val="hybridMultilevel"/>
    <w:tmpl w:val="2AEE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B0FB1"/>
    <w:multiLevelType w:val="hybridMultilevel"/>
    <w:tmpl w:val="4180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91C72"/>
    <w:multiLevelType w:val="hybridMultilevel"/>
    <w:tmpl w:val="68AC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77018"/>
    <w:multiLevelType w:val="hybridMultilevel"/>
    <w:tmpl w:val="8878D1D4"/>
    <w:lvl w:ilvl="0" w:tplc="C728E6B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E3F7929"/>
    <w:multiLevelType w:val="hybridMultilevel"/>
    <w:tmpl w:val="9D10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2"/>
  </w:num>
  <w:num w:numId="5">
    <w:abstractNumId w:val="14"/>
  </w:num>
  <w:num w:numId="6">
    <w:abstractNumId w:val="9"/>
  </w:num>
  <w:num w:numId="7">
    <w:abstractNumId w:val="1"/>
  </w:num>
  <w:num w:numId="8">
    <w:abstractNumId w:val="16"/>
  </w:num>
  <w:num w:numId="9">
    <w:abstractNumId w:val="4"/>
  </w:num>
  <w:num w:numId="10">
    <w:abstractNumId w:val="15"/>
  </w:num>
  <w:num w:numId="11">
    <w:abstractNumId w:val="18"/>
  </w:num>
  <w:num w:numId="12">
    <w:abstractNumId w:val="7"/>
  </w:num>
  <w:num w:numId="13">
    <w:abstractNumId w:val="0"/>
  </w:num>
  <w:num w:numId="14">
    <w:abstractNumId w:val="5"/>
  </w:num>
  <w:num w:numId="15">
    <w:abstractNumId w:val="11"/>
  </w:num>
  <w:num w:numId="16">
    <w:abstractNumId w:val="3"/>
  </w:num>
  <w:num w:numId="17">
    <w:abstractNumId w:val="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E1B"/>
    <w:rsid w:val="00033430"/>
    <w:rsid w:val="00034D09"/>
    <w:rsid w:val="0004062F"/>
    <w:rsid w:val="0004378F"/>
    <w:rsid w:val="000522A8"/>
    <w:rsid w:val="00052B03"/>
    <w:rsid w:val="000562A6"/>
    <w:rsid w:val="00060BF7"/>
    <w:rsid w:val="0008220D"/>
    <w:rsid w:val="00086BEE"/>
    <w:rsid w:val="00093CF3"/>
    <w:rsid w:val="00095753"/>
    <w:rsid w:val="000A64FD"/>
    <w:rsid w:val="000B3F96"/>
    <w:rsid w:val="000C3317"/>
    <w:rsid w:val="000C5788"/>
    <w:rsid w:val="000D2583"/>
    <w:rsid w:val="000E3D6C"/>
    <w:rsid w:val="000E78A1"/>
    <w:rsid w:val="000F4DB5"/>
    <w:rsid w:val="00105698"/>
    <w:rsid w:val="001069E6"/>
    <w:rsid w:val="00135C30"/>
    <w:rsid w:val="001430B6"/>
    <w:rsid w:val="00143D82"/>
    <w:rsid w:val="00192883"/>
    <w:rsid w:val="001A661F"/>
    <w:rsid w:val="001B3C82"/>
    <w:rsid w:val="001D0DE5"/>
    <w:rsid w:val="001D27E3"/>
    <w:rsid w:val="001D573C"/>
    <w:rsid w:val="001D5F3D"/>
    <w:rsid w:val="001E48A8"/>
    <w:rsid w:val="001E6441"/>
    <w:rsid w:val="001E6CAF"/>
    <w:rsid w:val="001F3828"/>
    <w:rsid w:val="001F7D83"/>
    <w:rsid w:val="00201076"/>
    <w:rsid w:val="002041E4"/>
    <w:rsid w:val="002163EC"/>
    <w:rsid w:val="00220CAA"/>
    <w:rsid w:val="0022134C"/>
    <w:rsid w:val="00225EBB"/>
    <w:rsid w:val="00232061"/>
    <w:rsid w:val="002339A0"/>
    <w:rsid w:val="00234426"/>
    <w:rsid w:val="002464DE"/>
    <w:rsid w:val="002554AD"/>
    <w:rsid w:val="002745D1"/>
    <w:rsid w:val="002751AA"/>
    <w:rsid w:val="00296C35"/>
    <w:rsid w:val="002A5F18"/>
    <w:rsid w:val="002B0B48"/>
    <w:rsid w:val="002B5B88"/>
    <w:rsid w:val="002E4905"/>
    <w:rsid w:val="002E64BC"/>
    <w:rsid w:val="002F24C1"/>
    <w:rsid w:val="002F6CDF"/>
    <w:rsid w:val="00300AD9"/>
    <w:rsid w:val="00305CDD"/>
    <w:rsid w:val="00307F34"/>
    <w:rsid w:val="0031477E"/>
    <w:rsid w:val="00320447"/>
    <w:rsid w:val="00330D7C"/>
    <w:rsid w:val="0034344E"/>
    <w:rsid w:val="00354D12"/>
    <w:rsid w:val="003766FE"/>
    <w:rsid w:val="00377963"/>
    <w:rsid w:val="0038013F"/>
    <w:rsid w:val="003844E5"/>
    <w:rsid w:val="003A7898"/>
    <w:rsid w:val="003B3A22"/>
    <w:rsid w:val="003C151A"/>
    <w:rsid w:val="003C751E"/>
    <w:rsid w:val="003E3A74"/>
    <w:rsid w:val="003E53E2"/>
    <w:rsid w:val="003F7C20"/>
    <w:rsid w:val="00410BE8"/>
    <w:rsid w:val="00412282"/>
    <w:rsid w:val="004335A5"/>
    <w:rsid w:val="004563A9"/>
    <w:rsid w:val="00464B1A"/>
    <w:rsid w:val="00471D2B"/>
    <w:rsid w:val="00473460"/>
    <w:rsid w:val="00496B67"/>
    <w:rsid w:val="004A3AC2"/>
    <w:rsid w:val="004B3E21"/>
    <w:rsid w:val="004C72A1"/>
    <w:rsid w:val="004D3704"/>
    <w:rsid w:val="004F2C02"/>
    <w:rsid w:val="005041EE"/>
    <w:rsid w:val="00507A1A"/>
    <w:rsid w:val="00507CE4"/>
    <w:rsid w:val="00520243"/>
    <w:rsid w:val="005237B4"/>
    <w:rsid w:val="00534EC4"/>
    <w:rsid w:val="00547E1B"/>
    <w:rsid w:val="00554986"/>
    <w:rsid w:val="005612D5"/>
    <w:rsid w:val="00567A23"/>
    <w:rsid w:val="00583E47"/>
    <w:rsid w:val="00585CF7"/>
    <w:rsid w:val="00587955"/>
    <w:rsid w:val="00587BFB"/>
    <w:rsid w:val="00592316"/>
    <w:rsid w:val="005E058D"/>
    <w:rsid w:val="005E5622"/>
    <w:rsid w:val="005F16E9"/>
    <w:rsid w:val="00601DB5"/>
    <w:rsid w:val="00606E42"/>
    <w:rsid w:val="00616432"/>
    <w:rsid w:val="006166B4"/>
    <w:rsid w:val="0061705F"/>
    <w:rsid w:val="00626684"/>
    <w:rsid w:val="00635B9D"/>
    <w:rsid w:val="00635DA6"/>
    <w:rsid w:val="0063672A"/>
    <w:rsid w:val="00642837"/>
    <w:rsid w:val="0065155E"/>
    <w:rsid w:val="00655327"/>
    <w:rsid w:val="00656600"/>
    <w:rsid w:val="006568BB"/>
    <w:rsid w:val="006830BD"/>
    <w:rsid w:val="006903A8"/>
    <w:rsid w:val="006C1849"/>
    <w:rsid w:val="006C3761"/>
    <w:rsid w:val="006D46C7"/>
    <w:rsid w:val="006D7334"/>
    <w:rsid w:val="006E79ED"/>
    <w:rsid w:val="006F077A"/>
    <w:rsid w:val="0070264E"/>
    <w:rsid w:val="0070627E"/>
    <w:rsid w:val="007258C6"/>
    <w:rsid w:val="00730D61"/>
    <w:rsid w:val="00737751"/>
    <w:rsid w:val="00747526"/>
    <w:rsid w:val="00756BF0"/>
    <w:rsid w:val="00767541"/>
    <w:rsid w:val="007675E5"/>
    <w:rsid w:val="00772CF4"/>
    <w:rsid w:val="007A0562"/>
    <w:rsid w:val="007A21E2"/>
    <w:rsid w:val="007A5680"/>
    <w:rsid w:val="007A6CF8"/>
    <w:rsid w:val="007C1CDD"/>
    <w:rsid w:val="007C445D"/>
    <w:rsid w:val="007D4551"/>
    <w:rsid w:val="007D48B2"/>
    <w:rsid w:val="007D498C"/>
    <w:rsid w:val="007E3256"/>
    <w:rsid w:val="00821627"/>
    <w:rsid w:val="008260B2"/>
    <w:rsid w:val="0082770F"/>
    <w:rsid w:val="00845518"/>
    <w:rsid w:val="00847D50"/>
    <w:rsid w:val="00860815"/>
    <w:rsid w:val="00862CE7"/>
    <w:rsid w:val="00870DE4"/>
    <w:rsid w:val="00875960"/>
    <w:rsid w:val="008806AD"/>
    <w:rsid w:val="00892FD1"/>
    <w:rsid w:val="0089713C"/>
    <w:rsid w:val="008A410D"/>
    <w:rsid w:val="008B3FF1"/>
    <w:rsid w:val="008B655F"/>
    <w:rsid w:val="008B658D"/>
    <w:rsid w:val="008C2C1B"/>
    <w:rsid w:val="008C3911"/>
    <w:rsid w:val="008C47C5"/>
    <w:rsid w:val="008E0DD3"/>
    <w:rsid w:val="008E4BA7"/>
    <w:rsid w:val="00907AB6"/>
    <w:rsid w:val="0091249B"/>
    <w:rsid w:val="009206F9"/>
    <w:rsid w:val="00932C24"/>
    <w:rsid w:val="0093683F"/>
    <w:rsid w:val="00941536"/>
    <w:rsid w:val="00961C53"/>
    <w:rsid w:val="00963151"/>
    <w:rsid w:val="0097148F"/>
    <w:rsid w:val="00973CD9"/>
    <w:rsid w:val="009806A7"/>
    <w:rsid w:val="00983B1E"/>
    <w:rsid w:val="00985E9B"/>
    <w:rsid w:val="009913B3"/>
    <w:rsid w:val="0099698B"/>
    <w:rsid w:val="009A5562"/>
    <w:rsid w:val="009C21FB"/>
    <w:rsid w:val="009D522F"/>
    <w:rsid w:val="009D5EAF"/>
    <w:rsid w:val="009E0D28"/>
    <w:rsid w:val="00A06024"/>
    <w:rsid w:val="00A15C9C"/>
    <w:rsid w:val="00A20E8F"/>
    <w:rsid w:val="00A23CFC"/>
    <w:rsid w:val="00A24B1C"/>
    <w:rsid w:val="00A3740B"/>
    <w:rsid w:val="00A53E09"/>
    <w:rsid w:val="00A603DB"/>
    <w:rsid w:val="00A6667F"/>
    <w:rsid w:val="00A761B7"/>
    <w:rsid w:val="00A80681"/>
    <w:rsid w:val="00A9625D"/>
    <w:rsid w:val="00AA3788"/>
    <w:rsid w:val="00AB1194"/>
    <w:rsid w:val="00AB71DE"/>
    <w:rsid w:val="00AC1AC1"/>
    <w:rsid w:val="00AD29F6"/>
    <w:rsid w:val="00AF0371"/>
    <w:rsid w:val="00B13D23"/>
    <w:rsid w:val="00B2036B"/>
    <w:rsid w:val="00B50909"/>
    <w:rsid w:val="00B571CE"/>
    <w:rsid w:val="00B60074"/>
    <w:rsid w:val="00B6089A"/>
    <w:rsid w:val="00B64425"/>
    <w:rsid w:val="00B66F2B"/>
    <w:rsid w:val="00B74995"/>
    <w:rsid w:val="00B850CB"/>
    <w:rsid w:val="00B90573"/>
    <w:rsid w:val="00BA4179"/>
    <w:rsid w:val="00BB4F06"/>
    <w:rsid w:val="00BC3FBF"/>
    <w:rsid w:val="00BD2923"/>
    <w:rsid w:val="00BE30B4"/>
    <w:rsid w:val="00BE3846"/>
    <w:rsid w:val="00BE4C4C"/>
    <w:rsid w:val="00BF1978"/>
    <w:rsid w:val="00BF1A1B"/>
    <w:rsid w:val="00BF4A19"/>
    <w:rsid w:val="00C06FFF"/>
    <w:rsid w:val="00C2428E"/>
    <w:rsid w:val="00C265C3"/>
    <w:rsid w:val="00C310C7"/>
    <w:rsid w:val="00C33DFD"/>
    <w:rsid w:val="00C36DE9"/>
    <w:rsid w:val="00C412D2"/>
    <w:rsid w:val="00C6554D"/>
    <w:rsid w:val="00C94146"/>
    <w:rsid w:val="00CA223A"/>
    <w:rsid w:val="00CB30BC"/>
    <w:rsid w:val="00CB6374"/>
    <w:rsid w:val="00CB64B7"/>
    <w:rsid w:val="00CC05FE"/>
    <w:rsid w:val="00CD3087"/>
    <w:rsid w:val="00CE1FEA"/>
    <w:rsid w:val="00CE6DEF"/>
    <w:rsid w:val="00CF5E17"/>
    <w:rsid w:val="00D01F3D"/>
    <w:rsid w:val="00D153E0"/>
    <w:rsid w:val="00D17F23"/>
    <w:rsid w:val="00D23E64"/>
    <w:rsid w:val="00D42D5F"/>
    <w:rsid w:val="00D51109"/>
    <w:rsid w:val="00D65793"/>
    <w:rsid w:val="00D66D9E"/>
    <w:rsid w:val="00D77232"/>
    <w:rsid w:val="00D82F88"/>
    <w:rsid w:val="00DA0E67"/>
    <w:rsid w:val="00DB27FE"/>
    <w:rsid w:val="00DC7231"/>
    <w:rsid w:val="00DD4E4D"/>
    <w:rsid w:val="00DE1038"/>
    <w:rsid w:val="00DF0001"/>
    <w:rsid w:val="00DF478D"/>
    <w:rsid w:val="00E06723"/>
    <w:rsid w:val="00E06B59"/>
    <w:rsid w:val="00E109E8"/>
    <w:rsid w:val="00E25CDC"/>
    <w:rsid w:val="00E35313"/>
    <w:rsid w:val="00E36B70"/>
    <w:rsid w:val="00E36DA4"/>
    <w:rsid w:val="00E41144"/>
    <w:rsid w:val="00E4688F"/>
    <w:rsid w:val="00E4780E"/>
    <w:rsid w:val="00E5261D"/>
    <w:rsid w:val="00E610F8"/>
    <w:rsid w:val="00E65BE0"/>
    <w:rsid w:val="00E73E82"/>
    <w:rsid w:val="00E74B4C"/>
    <w:rsid w:val="00E82EB6"/>
    <w:rsid w:val="00E90180"/>
    <w:rsid w:val="00EA096F"/>
    <w:rsid w:val="00EA5EF2"/>
    <w:rsid w:val="00EC0FFF"/>
    <w:rsid w:val="00EC390D"/>
    <w:rsid w:val="00ED3376"/>
    <w:rsid w:val="00EE18C7"/>
    <w:rsid w:val="00EE344A"/>
    <w:rsid w:val="00EE5315"/>
    <w:rsid w:val="00EF0BAA"/>
    <w:rsid w:val="00EF2B04"/>
    <w:rsid w:val="00EF6FA6"/>
    <w:rsid w:val="00F01B06"/>
    <w:rsid w:val="00F05687"/>
    <w:rsid w:val="00F0702D"/>
    <w:rsid w:val="00F27594"/>
    <w:rsid w:val="00F30FBE"/>
    <w:rsid w:val="00F34DA4"/>
    <w:rsid w:val="00F36EFE"/>
    <w:rsid w:val="00F3759F"/>
    <w:rsid w:val="00F40FFD"/>
    <w:rsid w:val="00F410C1"/>
    <w:rsid w:val="00F5615D"/>
    <w:rsid w:val="00F6434E"/>
    <w:rsid w:val="00F849C0"/>
    <w:rsid w:val="00F8511F"/>
    <w:rsid w:val="00FB68ED"/>
    <w:rsid w:val="00FC29E2"/>
    <w:rsid w:val="00FC4A59"/>
    <w:rsid w:val="00FD2E23"/>
    <w:rsid w:val="00FD59EB"/>
    <w:rsid w:val="00FE1777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ED0B7-DC43-43A5-B8B5-D79C1CE6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1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7675E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7E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547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547E1B"/>
    <w:rPr>
      <w:rFonts w:ascii="Calibri" w:eastAsia="Times New Roman" w:hAnsi="Calibri" w:cs="Calibri"/>
      <w:sz w:val="22"/>
      <w:lang w:eastAsia="ru-RU"/>
    </w:rPr>
  </w:style>
  <w:style w:type="paragraph" w:styleId="a3">
    <w:name w:val="List Paragraph"/>
    <w:basedOn w:val="a"/>
    <w:uiPriority w:val="34"/>
    <w:qFormat/>
    <w:rsid w:val="002F24C1"/>
    <w:pPr>
      <w:ind w:left="720"/>
      <w:contextualSpacing/>
    </w:pPr>
  </w:style>
  <w:style w:type="paragraph" w:styleId="a4">
    <w:name w:val="No Spacing"/>
    <w:link w:val="a5"/>
    <w:uiPriority w:val="1"/>
    <w:qFormat/>
    <w:rsid w:val="008277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827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ext1">
    <w:name w:val="itemtext1"/>
    <w:rsid w:val="00587BFB"/>
    <w:rPr>
      <w:rFonts w:ascii="Segoe UI" w:hAnsi="Segoe UI" w:cs="Segoe UI" w:hint="default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507CE4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8C2C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C2C1B"/>
    <w:rPr>
      <w:rFonts w:eastAsia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3343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3343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61C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61C53"/>
    <w:rPr>
      <w:rFonts w:eastAsia="Times New Roman"/>
      <w:szCs w:val="24"/>
    </w:rPr>
  </w:style>
  <w:style w:type="paragraph" w:customStyle="1" w:styleId="a9">
    <w:name w:val="Стиль"/>
    <w:rsid w:val="00961C5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70627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627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0627E"/>
    <w:rPr>
      <w:rFonts w:asciiTheme="minorHAnsi" w:eastAsiaTheme="minorEastAsia" w:hAnsiTheme="minorHAnsi" w:cstheme="minorBidi"/>
      <w:sz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62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627E"/>
    <w:rPr>
      <w:rFonts w:asciiTheme="minorHAnsi" w:eastAsiaTheme="minorEastAsia" w:hAnsiTheme="minorHAnsi" w:cstheme="minorBidi"/>
      <w:b/>
      <w:bCs/>
      <w:sz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0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27E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6667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6667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3">
    <w:name w:val="Normal (Web)"/>
    <w:basedOn w:val="a"/>
    <w:uiPriority w:val="99"/>
    <w:unhideWhenUsed/>
    <w:rsid w:val="00A7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A761B7"/>
    <w:rPr>
      <w:i/>
      <w:iCs/>
    </w:rPr>
  </w:style>
  <w:style w:type="paragraph" w:customStyle="1" w:styleId="a20">
    <w:name w:val="a2"/>
    <w:basedOn w:val="a"/>
    <w:rsid w:val="00A7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rsid w:val="001A661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01">
    <w:name w:val="fontstyle01"/>
    <w:basedOn w:val="a0"/>
    <w:rsid w:val="0065660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f6">
    <w:name w:val="Table Grid"/>
    <w:basedOn w:val="a1"/>
    <w:uiPriority w:val="59"/>
    <w:rsid w:val="007C4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C4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412D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C4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412D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75E5"/>
    <w:rPr>
      <w:rFonts w:eastAsia="Times New Roman"/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A603D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biznes/investor/regins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azov-gov.ru/biznes/investor/portr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lazov-gov.ru/biznes/investor/algdeis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ov-gov.ru/biznes/inves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3AE04-9919-466C-9F0F-D84EEE4F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45</Pages>
  <Words>9287</Words>
  <Characters>52938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</dc:creator>
  <cp:lastModifiedBy>Ольга М. Сунцова</cp:lastModifiedBy>
  <cp:revision>70</cp:revision>
  <cp:lastPrinted>2019-04-01T11:58:00Z</cp:lastPrinted>
  <dcterms:created xsi:type="dcterms:W3CDTF">2024-04-08T14:26:00Z</dcterms:created>
  <dcterms:modified xsi:type="dcterms:W3CDTF">2025-02-03T06:31:00Z</dcterms:modified>
</cp:coreProperties>
</file>